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4" w:type="dxa"/>
        <w:tblInd w:w="-106" w:type="dxa"/>
        <w:tblLayout w:type="fixed"/>
        <w:tblLook w:val="0000"/>
      </w:tblPr>
      <w:tblGrid>
        <w:gridCol w:w="3348"/>
        <w:gridCol w:w="5886"/>
      </w:tblGrid>
      <w:tr w:rsidR="000D245E" w:rsidRPr="006A56DB">
        <w:tc>
          <w:tcPr>
            <w:tcW w:w="3348" w:type="dxa"/>
          </w:tcPr>
          <w:p w:rsidR="000D245E" w:rsidRPr="000E6671" w:rsidRDefault="000D245E" w:rsidP="00B555C9">
            <w:pPr>
              <w:spacing w:line="360" w:lineRule="auto"/>
              <w:jc w:val="center"/>
              <w:rPr>
                <w:b/>
                <w:bCs/>
                <w:sz w:val="24"/>
                <w:szCs w:val="24"/>
                <w:lang w:val="nl-NL"/>
              </w:rPr>
            </w:pPr>
            <w:r w:rsidRPr="000E6671">
              <w:rPr>
                <w:b/>
                <w:bCs/>
                <w:sz w:val="24"/>
                <w:szCs w:val="24"/>
                <w:lang w:val="nl-NL"/>
              </w:rPr>
              <w:t>BỘ TÀI CHÍNH</w:t>
            </w:r>
          </w:p>
          <w:p w:rsidR="000D245E" w:rsidRPr="000E6671" w:rsidRDefault="004B20C9" w:rsidP="00B555C9">
            <w:pPr>
              <w:jc w:val="center"/>
              <w:rPr>
                <w:lang w:val="nl-NL"/>
              </w:rPr>
            </w:pPr>
            <w:r>
              <w:rPr>
                <w:noProof/>
              </w:rPr>
              <w:pict>
                <v:line id="_x0000_s1026" style="position:absolute;left:0;text-align:left;z-index:251657216" from="56.15pt,6.85pt" to="107.15pt,6.85pt"/>
              </w:pict>
            </w:r>
          </w:p>
          <w:p w:rsidR="000D245E" w:rsidRPr="000E6671" w:rsidRDefault="008933D3" w:rsidP="00B555C9">
            <w:pPr>
              <w:jc w:val="center"/>
              <w:rPr>
                <w:sz w:val="22"/>
                <w:szCs w:val="22"/>
                <w:lang w:val="nl-NL"/>
              </w:rPr>
            </w:pPr>
            <w:r>
              <w:rPr>
                <w:lang w:val="nl-NL"/>
              </w:rPr>
              <w:t xml:space="preserve">Số:     </w:t>
            </w:r>
            <w:r w:rsidR="00B52746">
              <w:rPr>
                <w:lang w:val="nl-NL"/>
              </w:rPr>
              <w:t>/201</w:t>
            </w:r>
            <w:r w:rsidR="005B03CC">
              <w:rPr>
                <w:lang w:val="nl-NL"/>
              </w:rPr>
              <w:t>5</w:t>
            </w:r>
            <w:r w:rsidR="000D245E" w:rsidRPr="000E6671">
              <w:rPr>
                <w:lang w:val="nl-NL"/>
              </w:rPr>
              <w:t>/TT-BTC</w:t>
            </w:r>
          </w:p>
        </w:tc>
        <w:tc>
          <w:tcPr>
            <w:tcW w:w="5886" w:type="dxa"/>
          </w:tcPr>
          <w:p w:rsidR="000D245E" w:rsidRPr="000E6671" w:rsidRDefault="000D245E" w:rsidP="00B555C9">
            <w:pPr>
              <w:jc w:val="center"/>
              <w:rPr>
                <w:sz w:val="24"/>
                <w:szCs w:val="24"/>
                <w:lang w:val="nl-NL"/>
              </w:rPr>
            </w:pPr>
            <w:r w:rsidRPr="000E6671">
              <w:rPr>
                <w:b/>
                <w:bCs/>
                <w:sz w:val="24"/>
                <w:szCs w:val="24"/>
                <w:lang w:val="nl-NL"/>
              </w:rPr>
              <w:t>CỘNG HOÀ XÃ HỘI CHỦ NGHĨA VIỆT NAM</w:t>
            </w:r>
          </w:p>
          <w:p w:rsidR="000D245E" w:rsidRPr="000E6671" w:rsidRDefault="000D245E" w:rsidP="00B555C9">
            <w:pPr>
              <w:jc w:val="center"/>
              <w:rPr>
                <w:b/>
                <w:bCs/>
                <w:lang w:val="nl-NL"/>
              </w:rPr>
            </w:pPr>
            <w:r w:rsidRPr="000E6671">
              <w:rPr>
                <w:b/>
                <w:bCs/>
                <w:lang w:val="nl-NL"/>
              </w:rPr>
              <w:t>Độc lập - Tự do - Hạnh phúc</w:t>
            </w:r>
          </w:p>
          <w:p w:rsidR="000D245E" w:rsidRPr="000E6671" w:rsidRDefault="00917968" w:rsidP="00B555C9">
            <w:pPr>
              <w:rPr>
                <w:lang w:val="nl-NL"/>
              </w:rPr>
            </w:pPr>
            <w:r>
              <w:rPr>
                <w:noProof/>
              </w:rPr>
              <w:pict>
                <v:shapetype id="_x0000_t32" coordsize="21600,21600" o:spt="32" o:oned="t" path="m,l21600,21600e" filled="f">
                  <v:path arrowok="t" fillok="f" o:connecttype="none"/>
                  <o:lock v:ext="edit" shapetype="t"/>
                </v:shapetype>
                <v:shape id="_x0000_s1030" type="#_x0000_t32" style="position:absolute;margin-left:56pt;margin-top:4.45pt;width:171.75pt;height:.05pt;z-index:251658240" o:connectortype="straight"/>
              </w:pict>
            </w:r>
          </w:p>
          <w:p w:rsidR="000D245E" w:rsidRPr="000E6671" w:rsidRDefault="000D245E" w:rsidP="00B555C9">
            <w:pPr>
              <w:keepNext/>
              <w:ind w:left="-207"/>
              <w:jc w:val="right"/>
              <w:outlineLvl w:val="1"/>
              <w:rPr>
                <w:i/>
                <w:iCs/>
                <w:lang w:val="nl-NL"/>
              </w:rPr>
            </w:pPr>
            <w:r w:rsidRPr="000E6671">
              <w:rPr>
                <w:b/>
                <w:bCs/>
                <w:lang w:val="nl-NL"/>
              </w:rPr>
              <w:t xml:space="preserve">  </w:t>
            </w:r>
            <w:r w:rsidRPr="000E6671">
              <w:rPr>
                <w:i/>
                <w:iCs/>
                <w:lang w:val="nl-NL"/>
              </w:rPr>
              <w:t>Hà Nội,</w:t>
            </w:r>
            <w:r w:rsidR="00735C84">
              <w:rPr>
                <w:i/>
                <w:iCs/>
                <w:lang w:val="nl-NL"/>
              </w:rPr>
              <w:t xml:space="preserve"> ngày  </w:t>
            </w:r>
            <w:r w:rsidR="00962471">
              <w:rPr>
                <w:i/>
                <w:iCs/>
                <w:lang w:val="nl-NL"/>
              </w:rPr>
              <w:t xml:space="preserve">  </w:t>
            </w:r>
            <w:r w:rsidR="003E2334">
              <w:rPr>
                <w:i/>
                <w:iCs/>
                <w:lang w:val="nl-NL"/>
              </w:rPr>
              <w:t xml:space="preserve">  tháng  </w:t>
            </w:r>
            <w:r w:rsidR="00962471">
              <w:rPr>
                <w:i/>
                <w:iCs/>
                <w:lang w:val="nl-NL"/>
              </w:rPr>
              <w:t xml:space="preserve">  </w:t>
            </w:r>
            <w:r w:rsidR="004314C2">
              <w:rPr>
                <w:i/>
                <w:iCs/>
                <w:lang w:val="nl-NL"/>
              </w:rPr>
              <w:t xml:space="preserve">  năm 201</w:t>
            </w:r>
            <w:r w:rsidR="005B03CC">
              <w:rPr>
                <w:i/>
                <w:iCs/>
                <w:lang w:val="nl-NL"/>
              </w:rPr>
              <w:t>5</w:t>
            </w:r>
          </w:p>
        </w:tc>
      </w:tr>
    </w:tbl>
    <w:p w:rsidR="000D245E" w:rsidRPr="000E6671" w:rsidRDefault="000D245E" w:rsidP="00B555C9">
      <w:pPr>
        <w:jc w:val="center"/>
        <w:rPr>
          <w:b/>
          <w:bCs/>
          <w:lang w:val="nl-NL"/>
        </w:rPr>
      </w:pPr>
    </w:p>
    <w:p w:rsidR="000D245E" w:rsidRPr="000E6671" w:rsidRDefault="004C1C4B" w:rsidP="00B555C9">
      <w:pPr>
        <w:jc w:val="center"/>
        <w:rPr>
          <w:b/>
          <w:bCs/>
          <w:lang w:val="nl-NL"/>
        </w:rPr>
      </w:pPr>
      <w:r>
        <w:rPr>
          <w:b/>
          <w:bCs/>
          <w:noProof/>
        </w:rPr>
        <w:pict>
          <v:shapetype id="_x0000_t202" coordsize="21600,21600" o:spt="202" path="m,l,21600r21600,l21600,xe">
            <v:stroke joinstyle="miter"/>
            <v:path gradientshapeok="t" o:connecttype="rect"/>
          </v:shapetype>
          <v:shape id="_x0000_s1031" type="#_x0000_t202" style="position:absolute;left:0;text-align:left;margin-left:-67.65pt;margin-top:11.95pt;width:104.85pt;height:24.75pt;z-index:251659264">
            <v:textbox style="mso-next-textbox:#_x0000_s1031">
              <w:txbxContent>
                <w:p w:rsidR="00AF219B" w:rsidRDefault="00AF219B">
                  <w:r>
                    <w:t xml:space="preserve">  Dự thảo ver 4</w:t>
                  </w:r>
                </w:p>
              </w:txbxContent>
            </v:textbox>
          </v:shape>
        </w:pict>
      </w:r>
    </w:p>
    <w:p w:rsidR="000D245E" w:rsidRPr="000E6671" w:rsidRDefault="000D245E" w:rsidP="00B555C9">
      <w:pPr>
        <w:jc w:val="center"/>
        <w:rPr>
          <w:b/>
          <w:bCs/>
          <w:lang w:val="nl-NL"/>
        </w:rPr>
      </w:pPr>
      <w:r w:rsidRPr="000E6671">
        <w:rPr>
          <w:b/>
          <w:bCs/>
          <w:lang w:val="nl-NL"/>
        </w:rPr>
        <w:t xml:space="preserve">THÔNG TƯ </w:t>
      </w:r>
    </w:p>
    <w:p w:rsidR="000D245E" w:rsidRPr="000E6671" w:rsidRDefault="000D245E" w:rsidP="00B555C9">
      <w:pPr>
        <w:jc w:val="center"/>
        <w:rPr>
          <w:b/>
          <w:bCs/>
          <w:lang w:val="nl-NL"/>
        </w:rPr>
      </w:pPr>
      <w:r w:rsidRPr="000E6671">
        <w:rPr>
          <w:b/>
          <w:bCs/>
          <w:lang w:val="nl-NL"/>
        </w:rPr>
        <w:t>Hướng dẫn về giao dịch chứng khoán</w:t>
      </w:r>
    </w:p>
    <w:p w:rsidR="000D245E" w:rsidRPr="000E6671" w:rsidRDefault="000D245E" w:rsidP="00B555C9">
      <w:pPr>
        <w:jc w:val="center"/>
        <w:rPr>
          <w:sz w:val="16"/>
          <w:szCs w:val="16"/>
          <w:lang w:val="nl-NL"/>
        </w:rPr>
      </w:pPr>
    </w:p>
    <w:p w:rsidR="000D245E" w:rsidRPr="000E6671" w:rsidRDefault="004B20C9" w:rsidP="00181503">
      <w:pPr>
        <w:spacing w:before="120"/>
        <w:ind w:left="357"/>
        <w:jc w:val="center"/>
        <w:rPr>
          <w:b/>
          <w:bCs/>
          <w:lang w:val="nl-NL"/>
        </w:rPr>
      </w:pPr>
      <w:r w:rsidRPr="004B20C9">
        <w:rPr>
          <w:noProof/>
        </w:rPr>
        <w:pict>
          <v:line id="_x0000_s1028" style="position:absolute;left:0;text-align:left;z-index:251656192" from="153.7pt,6.3pt" to="281.1pt,6.3pt"/>
        </w:pict>
      </w:r>
    </w:p>
    <w:p w:rsidR="000D245E" w:rsidRPr="000E6671" w:rsidRDefault="000D245E" w:rsidP="00181503">
      <w:pPr>
        <w:spacing w:before="120"/>
        <w:ind w:left="357"/>
        <w:jc w:val="center"/>
        <w:rPr>
          <w:b/>
          <w:bCs/>
          <w:lang w:val="nl-NL"/>
        </w:rPr>
      </w:pPr>
    </w:p>
    <w:p w:rsidR="000D245E" w:rsidRPr="00B97746" w:rsidRDefault="000D245E" w:rsidP="00181503">
      <w:pPr>
        <w:spacing w:before="120" w:after="80"/>
        <w:ind w:firstLine="720"/>
        <w:jc w:val="both"/>
        <w:rPr>
          <w:i/>
          <w:lang w:val="nl-NL"/>
        </w:rPr>
      </w:pPr>
      <w:r w:rsidRPr="00B97746">
        <w:rPr>
          <w:i/>
          <w:lang w:val="nl-NL"/>
        </w:rPr>
        <w:t>Căn cứ Luật Chứng khoán số 70/2006/QH11 ngày 29</w:t>
      </w:r>
      <w:r w:rsidR="002B3F18" w:rsidRPr="00B97746">
        <w:rPr>
          <w:i/>
          <w:lang w:val="nl-NL"/>
        </w:rPr>
        <w:t xml:space="preserve"> tháng </w:t>
      </w:r>
      <w:r w:rsidRPr="00B97746">
        <w:rPr>
          <w:i/>
          <w:lang w:val="nl-NL"/>
        </w:rPr>
        <w:t>06</w:t>
      </w:r>
      <w:r w:rsidR="00582FF0" w:rsidRPr="00B97746">
        <w:rPr>
          <w:i/>
          <w:lang w:val="nl-NL"/>
        </w:rPr>
        <w:t xml:space="preserve"> năm </w:t>
      </w:r>
      <w:r w:rsidRPr="00B97746">
        <w:rPr>
          <w:i/>
          <w:lang w:val="nl-NL"/>
        </w:rPr>
        <w:t>2006;</w:t>
      </w:r>
    </w:p>
    <w:p w:rsidR="00BA1FBE" w:rsidRPr="00E1635E" w:rsidRDefault="00BA1FBE" w:rsidP="00181503">
      <w:pPr>
        <w:spacing w:before="120" w:after="80"/>
        <w:ind w:firstLine="720"/>
        <w:jc w:val="both"/>
        <w:rPr>
          <w:i/>
          <w:color w:val="000000"/>
          <w:lang w:val="nl-NL"/>
        </w:rPr>
      </w:pPr>
      <w:r w:rsidRPr="00E1635E">
        <w:rPr>
          <w:i/>
          <w:color w:val="000000"/>
          <w:lang w:val="nl-NL"/>
        </w:rPr>
        <w:t>Căn cứ Luật sửa đổi, bổ sung một số điều của Luật Chứng khoán số 62/2010/QH12 ngày 24/11/2010;</w:t>
      </w:r>
    </w:p>
    <w:p w:rsidR="000D245E" w:rsidRPr="00E1635E" w:rsidRDefault="000D245E" w:rsidP="00181503">
      <w:pPr>
        <w:spacing w:before="120" w:after="80"/>
        <w:ind w:firstLine="720"/>
        <w:jc w:val="both"/>
        <w:rPr>
          <w:i/>
          <w:color w:val="000000"/>
          <w:lang w:val="nl-NL"/>
        </w:rPr>
      </w:pPr>
      <w:r w:rsidRPr="00E1635E">
        <w:rPr>
          <w:i/>
          <w:color w:val="000000"/>
          <w:lang w:val="nl-NL"/>
        </w:rPr>
        <w:t xml:space="preserve">Căn cứ Nghị định số </w:t>
      </w:r>
      <w:r w:rsidR="007436D1" w:rsidRPr="00E1635E">
        <w:rPr>
          <w:i/>
          <w:color w:val="000000"/>
          <w:lang w:val="nl-NL"/>
        </w:rPr>
        <w:t>215</w:t>
      </w:r>
      <w:r w:rsidRPr="00E1635E">
        <w:rPr>
          <w:i/>
          <w:color w:val="000000"/>
          <w:lang w:val="nl-NL"/>
        </w:rPr>
        <w:t>/20</w:t>
      </w:r>
      <w:r w:rsidR="00E343E8" w:rsidRPr="00E1635E">
        <w:rPr>
          <w:i/>
          <w:color w:val="000000"/>
          <w:lang w:val="nl-NL"/>
        </w:rPr>
        <w:t>13</w:t>
      </w:r>
      <w:r w:rsidRPr="00E1635E">
        <w:rPr>
          <w:i/>
          <w:color w:val="000000"/>
          <w:lang w:val="nl-NL"/>
        </w:rPr>
        <w:t xml:space="preserve">/NĐ-CP ngày </w:t>
      </w:r>
      <w:r w:rsidR="00C40A5D" w:rsidRPr="00E1635E">
        <w:rPr>
          <w:i/>
          <w:color w:val="000000"/>
          <w:lang w:val="nl-NL"/>
        </w:rPr>
        <w:t>23</w:t>
      </w:r>
      <w:r w:rsidRPr="00E1635E">
        <w:rPr>
          <w:i/>
          <w:color w:val="000000"/>
          <w:lang w:val="nl-NL"/>
        </w:rPr>
        <w:t>/1</w:t>
      </w:r>
      <w:r w:rsidR="00C40A5D" w:rsidRPr="00E1635E">
        <w:rPr>
          <w:i/>
          <w:color w:val="000000"/>
          <w:lang w:val="nl-NL"/>
        </w:rPr>
        <w:t>2</w:t>
      </w:r>
      <w:r w:rsidRPr="00E1635E">
        <w:rPr>
          <w:i/>
          <w:color w:val="000000"/>
          <w:lang w:val="nl-NL"/>
        </w:rPr>
        <w:t>/20</w:t>
      </w:r>
      <w:r w:rsidR="00C40A5D" w:rsidRPr="00E1635E">
        <w:rPr>
          <w:i/>
          <w:color w:val="000000"/>
          <w:lang w:val="nl-NL"/>
        </w:rPr>
        <w:t>13</w:t>
      </w:r>
      <w:r w:rsidRPr="00E1635E">
        <w:rPr>
          <w:i/>
          <w:color w:val="000000"/>
          <w:lang w:val="nl-NL"/>
        </w:rPr>
        <w:t xml:space="preserve"> của Chính phủ quy định chức năng, nhiệm vụ, quyền hạn và cơ cấu tổ chức của Bộ Tài chính;</w:t>
      </w:r>
    </w:p>
    <w:p w:rsidR="00071DBD" w:rsidRPr="00E1635E" w:rsidRDefault="00071DBD" w:rsidP="00181503">
      <w:pPr>
        <w:spacing w:before="120" w:after="80"/>
        <w:ind w:firstLine="720"/>
        <w:jc w:val="both"/>
        <w:rPr>
          <w:i/>
          <w:color w:val="000000"/>
          <w:lang w:val="nl-NL"/>
        </w:rPr>
      </w:pPr>
      <w:r w:rsidRPr="00E1635E">
        <w:rPr>
          <w:i/>
          <w:color w:val="000000"/>
          <w:lang w:val="nl-NL"/>
        </w:rPr>
        <w:t>Căn cứ Nghị định số 58/2012/NĐ-CP ngày 20/07/2012 của Chính phủ quy định chi tiết và hướng dẫn thi hành một số điều của Luật Chứng khoán và Luật sửa đổi, bổ sung một số điều của Luật Chứng khoán;</w:t>
      </w:r>
    </w:p>
    <w:p w:rsidR="00162512" w:rsidRPr="00E1635E" w:rsidRDefault="00162512" w:rsidP="00181503">
      <w:pPr>
        <w:spacing w:before="120" w:after="80"/>
        <w:ind w:firstLine="720"/>
        <w:jc w:val="both"/>
        <w:rPr>
          <w:i/>
          <w:color w:val="000000"/>
          <w:lang w:val="nl-NL"/>
        </w:rPr>
      </w:pPr>
      <w:r w:rsidRPr="00E1635E">
        <w:rPr>
          <w:i/>
          <w:color w:val="000000"/>
          <w:lang w:val="nl-NL"/>
        </w:rPr>
        <w:t>Theo đề nghị của Chủ tịch Ủy ban Chứng khoán Nhà Nước;</w:t>
      </w:r>
    </w:p>
    <w:p w:rsidR="000D245E" w:rsidRPr="00B97746" w:rsidRDefault="000D245E" w:rsidP="00181503">
      <w:pPr>
        <w:spacing w:before="120"/>
        <w:ind w:firstLine="737"/>
        <w:jc w:val="both"/>
        <w:rPr>
          <w:i/>
          <w:lang w:val="nl-NL"/>
        </w:rPr>
      </w:pPr>
      <w:r w:rsidRPr="00B97746">
        <w:rPr>
          <w:i/>
          <w:lang w:val="nl-NL"/>
        </w:rPr>
        <w:t xml:space="preserve">Bộ Tài chính </w:t>
      </w:r>
      <w:r w:rsidR="0027315D" w:rsidRPr="00B97746">
        <w:rPr>
          <w:i/>
          <w:lang w:val="nl-NL"/>
        </w:rPr>
        <w:t xml:space="preserve">ban hành Thông tư </w:t>
      </w:r>
      <w:r w:rsidRPr="00B97746">
        <w:rPr>
          <w:i/>
          <w:lang w:val="nl-NL"/>
        </w:rPr>
        <w:t xml:space="preserve">hướng dẫn về giao dịch trên thị trường chứng khoán như sau: </w:t>
      </w:r>
    </w:p>
    <w:p w:rsidR="000D245E" w:rsidRPr="000E6671" w:rsidRDefault="000D245E" w:rsidP="00181503">
      <w:pPr>
        <w:spacing w:before="120"/>
        <w:ind w:left="357"/>
        <w:jc w:val="both"/>
        <w:rPr>
          <w:b/>
          <w:bCs/>
          <w:lang w:val="nl-NL"/>
        </w:rPr>
      </w:pPr>
    </w:p>
    <w:p w:rsidR="007F6ACB" w:rsidRPr="007F6ACB" w:rsidRDefault="0079279A" w:rsidP="00181503">
      <w:pPr>
        <w:spacing w:before="120" w:after="100" w:afterAutospacing="1"/>
        <w:ind w:left="1077"/>
        <w:rPr>
          <w:b/>
          <w:bCs/>
          <w:lang w:val="nl-NL"/>
        </w:rPr>
      </w:pPr>
      <w:r>
        <w:rPr>
          <w:b/>
          <w:bCs/>
          <w:lang w:val="nl-NL"/>
        </w:rPr>
        <w:t xml:space="preserve">                                       </w:t>
      </w:r>
      <w:r w:rsidR="007F6ACB">
        <w:rPr>
          <w:b/>
          <w:bCs/>
          <w:lang w:val="nl-NL"/>
        </w:rPr>
        <w:t>Chương</w:t>
      </w:r>
      <w:r w:rsidR="007F6ACB" w:rsidRPr="007F6ACB">
        <w:rPr>
          <w:b/>
          <w:bCs/>
          <w:lang w:val="nl-NL"/>
        </w:rPr>
        <w:t xml:space="preserve"> I</w:t>
      </w:r>
      <w:r w:rsidR="00A7309E" w:rsidRPr="007F6ACB">
        <w:rPr>
          <w:b/>
          <w:bCs/>
          <w:lang w:val="nl-NL"/>
        </w:rPr>
        <w:t xml:space="preserve"> </w:t>
      </w:r>
    </w:p>
    <w:p w:rsidR="000D245E" w:rsidRPr="000E6671" w:rsidRDefault="0079279A" w:rsidP="00181503">
      <w:pPr>
        <w:spacing w:before="120" w:after="100" w:afterAutospacing="1"/>
        <w:ind w:left="1077"/>
        <w:rPr>
          <w:lang w:val="nl-NL"/>
        </w:rPr>
      </w:pPr>
      <w:r>
        <w:rPr>
          <w:b/>
          <w:bCs/>
          <w:lang w:val="nl-NL"/>
        </w:rPr>
        <w:t xml:space="preserve">                              </w:t>
      </w:r>
      <w:r w:rsidR="000D245E" w:rsidRPr="000E6671">
        <w:rPr>
          <w:b/>
          <w:bCs/>
          <w:lang w:val="nl-NL"/>
        </w:rPr>
        <w:t>QUY ĐỊNH CHUNG</w:t>
      </w:r>
    </w:p>
    <w:p w:rsidR="000D245E" w:rsidRPr="000E6671" w:rsidRDefault="007F6ACB" w:rsidP="00181503">
      <w:pPr>
        <w:tabs>
          <w:tab w:val="left" w:pos="630"/>
        </w:tabs>
        <w:spacing w:before="120" w:after="100" w:afterAutospacing="1"/>
        <w:jc w:val="both"/>
        <w:rPr>
          <w:b/>
          <w:bCs/>
          <w:lang w:val="nl-NL"/>
        </w:rPr>
      </w:pPr>
      <w:r>
        <w:rPr>
          <w:b/>
          <w:bCs/>
          <w:lang w:val="nl-NL"/>
        </w:rPr>
        <w:tab/>
      </w:r>
      <w:r w:rsidR="00A7309E">
        <w:rPr>
          <w:b/>
          <w:bCs/>
          <w:lang w:val="nl-NL"/>
        </w:rPr>
        <w:t xml:space="preserve">Điều </w:t>
      </w:r>
      <w:r w:rsidR="00523BEC">
        <w:rPr>
          <w:b/>
          <w:bCs/>
          <w:lang w:val="nl-NL"/>
        </w:rPr>
        <w:t>1. Phạm vi đ</w:t>
      </w:r>
      <w:r w:rsidR="000D245E" w:rsidRPr="000E6671">
        <w:rPr>
          <w:b/>
          <w:bCs/>
          <w:lang w:val="nl-NL"/>
        </w:rPr>
        <w:t>iều chỉnh</w:t>
      </w:r>
    </w:p>
    <w:p w:rsidR="000D245E" w:rsidRPr="000E6671" w:rsidRDefault="000D245E" w:rsidP="00181503">
      <w:pPr>
        <w:tabs>
          <w:tab w:val="left" w:pos="567"/>
        </w:tabs>
        <w:spacing w:before="120" w:after="100" w:afterAutospacing="1"/>
        <w:jc w:val="both"/>
        <w:rPr>
          <w:lang w:val="nl-NL"/>
        </w:rPr>
      </w:pPr>
      <w:r w:rsidRPr="000E6671">
        <w:rPr>
          <w:lang w:val="nl-NL"/>
        </w:rPr>
        <w:tab/>
        <w:t>Thông tư này hướng dẫn</w:t>
      </w:r>
      <w:r w:rsidR="00952AA9">
        <w:rPr>
          <w:lang w:val="nl-NL"/>
        </w:rPr>
        <w:t xml:space="preserve"> </w:t>
      </w:r>
      <w:r w:rsidRPr="000E6671">
        <w:rPr>
          <w:lang w:val="nl-NL"/>
        </w:rPr>
        <w:t xml:space="preserve">hoạt động giao dịch chứng khoán của </w:t>
      </w:r>
      <w:r w:rsidR="00F338A7">
        <w:rPr>
          <w:lang w:val="nl-NL"/>
        </w:rPr>
        <w:t>tổ chức</w:t>
      </w:r>
      <w:r w:rsidRPr="000E6671">
        <w:rPr>
          <w:lang w:val="nl-NL"/>
        </w:rPr>
        <w:t xml:space="preserve"> niêm </w:t>
      </w:r>
      <w:r w:rsidR="00523BEC">
        <w:rPr>
          <w:lang w:val="nl-NL"/>
        </w:rPr>
        <w:t xml:space="preserve">yết, </w:t>
      </w:r>
      <w:r w:rsidR="00ED39DB">
        <w:rPr>
          <w:lang w:val="nl-NL"/>
        </w:rPr>
        <w:t>đăng ký giao dịch</w:t>
      </w:r>
      <w:r w:rsidR="00E031DD" w:rsidRPr="008E5113">
        <w:rPr>
          <w:color w:val="000000"/>
          <w:lang w:val="nl-NL"/>
        </w:rPr>
        <w:t xml:space="preserve">, </w:t>
      </w:r>
      <w:r w:rsidR="00F338A7" w:rsidRPr="008E5113">
        <w:rPr>
          <w:color w:val="000000"/>
          <w:lang w:val="nl-NL"/>
        </w:rPr>
        <w:t>quỹ đại chúng</w:t>
      </w:r>
      <w:r w:rsidR="002B1B6E">
        <w:rPr>
          <w:color w:val="000000"/>
          <w:lang w:val="nl-NL"/>
        </w:rPr>
        <w:t xml:space="preserve">, </w:t>
      </w:r>
      <w:r w:rsidR="002B1B6E">
        <w:rPr>
          <w:lang w:val="nl-NL"/>
        </w:rPr>
        <w:t>nhà đầu tư</w:t>
      </w:r>
      <w:r w:rsidR="00ED39DB">
        <w:rPr>
          <w:lang w:val="nl-NL"/>
        </w:rPr>
        <w:t xml:space="preserve"> và </w:t>
      </w:r>
      <w:r w:rsidR="002B1B6E">
        <w:rPr>
          <w:lang w:val="nl-NL"/>
        </w:rPr>
        <w:t xml:space="preserve">các tổ chức, cá nhân khác có liên quan khi tham gia giao dịch </w:t>
      </w:r>
      <w:r w:rsidRPr="000E6671">
        <w:rPr>
          <w:lang w:val="nl-NL"/>
        </w:rPr>
        <w:t>trên Sở giao dịch chứng khoán (SGDCK</w:t>
      </w:r>
      <w:r w:rsidR="003001F3">
        <w:rPr>
          <w:lang w:val="nl-NL"/>
        </w:rPr>
        <w:t>)</w:t>
      </w:r>
      <w:r w:rsidRPr="000E6671">
        <w:rPr>
          <w:lang w:val="nl-NL"/>
        </w:rPr>
        <w:t xml:space="preserve">. </w:t>
      </w:r>
    </w:p>
    <w:p w:rsidR="000D245E" w:rsidRPr="000E6671" w:rsidRDefault="00A7309E" w:rsidP="00181503">
      <w:pPr>
        <w:spacing w:before="120" w:after="100" w:afterAutospacing="1"/>
        <w:ind w:firstLine="560"/>
        <w:jc w:val="both"/>
        <w:rPr>
          <w:b/>
          <w:bCs/>
          <w:lang w:val="nl-NL"/>
        </w:rPr>
      </w:pPr>
      <w:r>
        <w:rPr>
          <w:b/>
          <w:bCs/>
          <w:lang w:val="nl-NL"/>
        </w:rPr>
        <w:t xml:space="preserve">Điều </w:t>
      </w:r>
      <w:r w:rsidR="000D245E" w:rsidRPr="000E6671">
        <w:rPr>
          <w:b/>
          <w:bCs/>
          <w:lang w:val="nl-NL"/>
        </w:rPr>
        <w:t>2. Giải thích thuật ngữ</w:t>
      </w:r>
    </w:p>
    <w:p w:rsidR="000D245E" w:rsidRPr="000E6671" w:rsidRDefault="000D245E" w:rsidP="00181503">
      <w:pPr>
        <w:spacing w:before="120" w:after="100" w:afterAutospacing="1"/>
        <w:ind w:firstLine="560"/>
        <w:jc w:val="both"/>
        <w:rPr>
          <w:lang w:val="nl-NL"/>
        </w:rPr>
      </w:pPr>
      <w:r w:rsidRPr="000E6671">
        <w:rPr>
          <w:lang w:val="nl-NL"/>
        </w:rPr>
        <w:t xml:space="preserve">Trong Thông tư này, các thuật ngữ dưới đây được hiểu như sau: </w:t>
      </w:r>
    </w:p>
    <w:p w:rsidR="000D245E" w:rsidRPr="000E6671" w:rsidRDefault="00260D9E" w:rsidP="00181503">
      <w:pPr>
        <w:spacing w:before="120" w:after="100" w:afterAutospacing="1"/>
        <w:ind w:firstLine="560"/>
        <w:jc w:val="both"/>
        <w:rPr>
          <w:lang w:val="nl-NL"/>
        </w:rPr>
      </w:pPr>
      <w:r>
        <w:rPr>
          <w:iCs/>
          <w:lang w:val="nl-NL"/>
        </w:rPr>
        <w:t xml:space="preserve">  </w:t>
      </w:r>
      <w:r w:rsidR="000D245E" w:rsidRPr="00A7309E">
        <w:rPr>
          <w:iCs/>
          <w:lang w:val="nl-NL"/>
        </w:rPr>
        <w:t>1.</w:t>
      </w:r>
      <w:r w:rsidR="000D245E" w:rsidRPr="000E6671">
        <w:rPr>
          <w:i/>
          <w:iCs/>
          <w:lang w:val="nl-NL"/>
        </w:rPr>
        <w:t xml:space="preserve"> Thành viên giao dịch</w:t>
      </w:r>
      <w:r w:rsidR="000D245E" w:rsidRPr="000E6671">
        <w:rPr>
          <w:lang w:val="nl-NL"/>
        </w:rPr>
        <w:t xml:space="preserve"> là công ty chứng khoán được SGDCK chấp thuận trở thành thành viên giao dịch. </w:t>
      </w:r>
    </w:p>
    <w:p w:rsidR="000D245E" w:rsidRPr="000E6671" w:rsidRDefault="00260D9E" w:rsidP="00181503">
      <w:pPr>
        <w:spacing w:before="120" w:after="100" w:afterAutospacing="1"/>
        <w:ind w:firstLine="560"/>
        <w:jc w:val="both"/>
        <w:rPr>
          <w:lang w:val="nl-NL"/>
        </w:rPr>
      </w:pPr>
      <w:r>
        <w:rPr>
          <w:iCs/>
          <w:lang w:val="nl-NL"/>
        </w:rPr>
        <w:lastRenderedPageBreak/>
        <w:t xml:space="preserve">  </w:t>
      </w:r>
      <w:r w:rsidR="000D245E" w:rsidRPr="00A7309E">
        <w:rPr>
          <w:iCs/>
          <w:lang w:val="nl-NL"/>
        </w:rPr>
        <w:t>2.</w:t>
      </w:r>
      <w:r w:rsidR="000D245E" w:rsidRPr="000E6671">
        <w:rPr>
          <w:i/>
          <w:iCs/>
          <w:lang w:val="nl-NL"/>
        </w:rPr>
        <w:t xml:space="preserve"> Hệ thống giao dịch</w:t>
      </w:r>
      <w:r w:rsidR="000D245E" w:rsidRPr="000E6671">
        <w:rPr>
          <w:lang w:val="nl-NL"/>
        </w:rPr>
        <w:t xml:space="preserve"> là hệ thống máy tính dùng cho hoạt động giao dịch chứng khoán tại SGDCK</w:t>
      </w:r>
      <w:r w:rsidR="00677183">
        <w:rPr>
          <w:lang w:val="nl-NL"/>
        </w:rPr>
        <w:t>.</w:t>
      </w:r>
      <w:r w:rsidR="000D245E" w:rsidRPr="000E6671">
        <w:rPr>
          <w:lang w:val="nl-NL"/>
        </w:rPr>
        <w:t xml:space="preserve"> </w:t>
      </w:r>
    </w:p>
    <w:p w:rsidR="000D245E" w:rsidRPr="000E6671" w:rsidRDefault="007655A8" w:rsidP="00181503">
      <w:pPr>
        <w:spacing w:before="120" w:after="100" w:afterAutospacing="1"/>
        <w:ind w:firstLine="560"/>
        <w:jc w:val="both"/>
        <w:rPr>
          <w:lang w:val="nl-NL"/>
        </w:rPr>
      </w:pPr>
      <w:r>
        <w:rPr>
          <w:iCs/>
          <w:lang w:val="nl-NL"/>
        </w:rPr>
        <w:t xml:space="preserve">  </w:t>
      </w:r>
      <w:r w:rsidR="000D245E" w:rsidRPr="00A7309E">
        <w:rPr>
          <w:iCs/>
          <w:lang w:val="nl-NL"/>
        </w:rPr>
        <w:t>3</w:t>
      </w:r>
      <w:r w:rsidR="000D245E" w:rsidRPr="000E6671">
        <w:rPr>
          <w:i/>
          <w:iCs/>
          <w:lang w:val="nl-NL"/>
        </w:rPr>
        <w:t>. Hệ thống chuyển lệnh</w:t>
      </w:r>
      <w:r w:rsidR="000D245E" w:rsidRPr="000E6671">
        <w:rPr>
          <w:lang w:val="nl-NL"/>
        </w:rPr>
        <w:t xml:space="preserve"> là hệ thống thực hiện việc chuyển các lệnh giao dịch của nhà đầu tư từ thành viên</w:t>
      </w:r>
      <w:r w:rsidR="00894669">
        <w:rPr>
          <w:lang w:val="nl-NL"/>
        </w:rPr>
        <w:t xml:space="preserve"> giao dịch</w:t>
      </w:r>
      <w:r w:rsidR="000D245E" w:rsidRPr="000E6671">
        <w:rPr>
          <w:lang w:val="nl-NL"/>
        </w:rPr>
        <w:t xml:space="preserve"> đến SGDCK.  </w:t>
      </w:r>
    </w:p>
    <w:p w:rsidR="000D245E" w:rsidRPr="000E6671" w:rsidRDefault="007655A8" w:rsidP="00181503">
      <w:pPr>
        <w:spacing w:before="120" w:after="100" w:afterAutospacing="1"/>
        <w:ind w:firstLine="560"/>
        <w:jc w:val="both"/>
        <w:rPr>
          <w:lang w:val="nl-NL"/>
        </w:rPr>
      </w:pPr>
      <w:r>
        <w:rPr>
          <w:iCs/>
          <w:lang w:val="nl-NL"/>
        </w:rPr>
        <w:t xml:space="preserve">  </w:t>
      </w:r>
      <w:r w:rsidR="000D245E" w:rsidRPr="00A7309E">
        <w:rPr>
          <w:iCs/>
          <w:lang w:val="nl-NL"/>
        </w:rPr>
        <w:t>4.</w:t>
      </w:r>
      <w:r w:rsidR="000D245E" w:rsidRPr="000E6671">
        <w:rPr>
          <w:i/>
          <w:iCs/>
          <w:lang w:val="nl-NL"/>
        </w:rPr>
        <w:t xml:space="preserve"> Biên độ dao động giá</w:t>
      </w:r>
      <w:r w:rsidR="000D245E" w:rsidRPr="000E6671">
        <w:rPr>
          <w:lang w:val="nl-NL"/>
        </w:rPr>
        <w:t xml:space="preserve"> là giới hạn dao động giá chứng khoán quy định trong ngày giao dịch được tính theo tỷ lệ phần trăm (%) so với giá tham chiếu. </w:t>
      </w:r>
    </w:p>
    <w:p w:rsidR="000D245E" w:rsidRPr="000E6671" w:rsidRDefault="007655A8" w:rsidP="00181503">
      <w:pPr>
        <w:spacing w:before="120" w:after="100" w:afterAutospacing="1"/>
        <w:ind w:firstLine="560"/>
        <w:jc w:val="both"/>
        <w:rPr>
          <w:lang w:val="nl-NL"/>
        </w:rPr>
      </w:pPr>
      <w:r>
        <w:rPr>
          <w:iCs/>
          <w:lang w:val="nl-NL"/>
        </w:rPr>
        <w:t xml:space="preserve">  </w:t>
      </w:r>
      <w:r w:rsidR="000D245E" w:rsidRPr="00A7309E">
        <w:rPr>
          <w:iCs/>
          <w:lang w:val="nl-NL"/>
        </w:rPr>
        <w:t>5.</w:t>
      </w:r>
      <w:r w:rsidR="007F6ACB">
        <w:rPr>
          <w:i/>
          <w:iCs/>
          <w:lang w:val="nl-NL"/>
        </w:rPr>
        <w:t xml:space="preserve"> </w:t>
      </w:r>
      <w:r w:rsidR="000D245E" w:rsidRPr="000E6671">
        <w:rPr>
          <w:i/>
          <w:iCs/>
          <w:lang w:val="nl-NL"/>
        </w:rPr>
        <w:t>Giá tham chiếu</w:t>
      </w:r>
      <w:r w:rsidR="000D245E" w:rsidRPr="000E6671">
        <w:rPr>
          <w:lang w:val="nl-NL"/>
        </w:rPr>
        <w:t xml:space="preserve"> là mức giá làm cơ sở để SGDCK tính giới hạn dao động giá chứng khoán trong ngày giao dịch.</w:t>
      </w:r>
    </w:p>
    <w:p w:rsidR="000D245E" w:rsidRPr="000E6671" w:rsidRDefault="000D245E" w:rsidP="00181503">
      <w:pPr>
        <w:tabs>
          <w:tab w:val="left" w:pos="540"/>
          <w:tab w:val="left" w:pos="630"/>
          <w:tab w:val="left" w:pos="720"/>
          <w:tab w:val="center" w:pos="4441"/>
          <w:tab w:val="left" w:pos="7660"/>
        </w:tabs>
        <w:spacing w:before="120" w:after="100" w:afterAutospacing="1"/>
        <w:jc w:val="both"/>
        <w:rPr>
          <w:lang w:val="nl-NL"/>
        </w:rPr>
      </w:pPr>
      <w:r w:rsidRPr="000E6671">
        <w:rPr>
          <w:lang w:val="nl-NL"/>
        </w:rPr>
        <w:tab/>
      </w:r>
      <w:r w:rsidR="007F6ACB">
        <w:rPr>
          <w:lang w:val="nl-NL"/>
        </w:rPr>
        <w:t xml:space="preserve">  </w:t>
      </w:r>
      <w:r w:rsidRPr="00A7309E">
        <w:rPr>
          <w:iCs/>
          <w:lang w:val="nl-NL"/>
        </w:rPr>
        <w:t>6</w:t>
      </w:r>
      <w:r w:rsidRPr="000E6671">
        <w:rPr>
          <w:i/>
          <w:iCs/>
          <w:lang w:val="nl-NL"/>
        </w:rPr>
        <w:t>. Phương thức khớp lệnh</w:t>
      </w:r>
      <w:r w:rsidRPr="000E6671">
        <w:rPr>
          <w:lang w:val="nl-NL"/>
        </w:rPr>
        <w:t xml:space="preserve"> là phương thức giao dịch do hệ thống giao dịch thực hiện dựa trên so khớp các lệnh mua và lệnh bán chứng khoán</w:t>
      </w:r>
      <w:r w:rsidR="00677183">
        <w:rPr>
          <w:lang w:val="nl-NL"/>
        </w:rPr>
        <w:t>. Phương thức khớp lệnh bao gồm</w:t>
      </w:r>
      <w:r w:rsidRPr="000E6671">
        <w:rPr>
          <w:lang w:val="nl-NL"/>
        </w:rPr>
        <w:t xml:space="preserve"> </w:t>
      </w:r>
      <w:r w:rsidRPr="00677183">
        <w:rPr>
          <w:i/>
          <w:lang w:val="nl-NL"/>
        </w:rPr>
        <w:t>khớp lệnh định kỳ</w:t>
      </w:r>
      <w:r w:rsidRPr="000E6671">
        <w:rPr>
          <w:lang w:val="nl-NL"/>
        </w:rPr>
        <w:t xml:space="preserve"> và </w:t>
      </w:r>
      <w:r w:rsidRPr="00677183">
        <w:rPr>
          <w:i/>
          <w:lang w:val="nl-NL"/>
        </w:rPr>
        <w:t>khớp lệnh liên tục</w:t>
      </w:r>
      <w:r w:rsidRPr="000E6671">
        <w:rPr>
          <w:lang w:val="nl-NL"/>
        </w:rPr>
        <w:t>.</w:t>
      </w:r>
    </w:p>
    <w:p w:rsidR="000D245E" w:rsidRPr="000E6671" w:rsidRDefault="000D245E" w:rsidP="00181503">
      <w:pPr>
        <w:tabs>
          <w:tab w:val="center" w:pos="4441"/>
          <w:tab w:val="left" w:pos="7660"/>
        </w:tabs>
        <w:spacing w:before="120" w:after="100" w:afterAutospacing="1"/>
        <w:jc w:val="both"/>
        <w:rPr>
          <w:lang w:val="nl-NL"/>
        </w:rPr>
      </w:pPr>
      <w:r w:rsidRPr="000E6671">
        <w:rPr>
          <w:b/>
          <w:bCs/>
          <w:lang w:val="nl-NL"/>
        </w:rPr>
        <w:t xml:space="preserve">    </w:t>
      </w:r>
      <w:r w:rsidR="004919DE">
        <w:rPr>
          <w:b/>
          <w:bCs/>
          <w:lang w:val="nl-NL"/>
        </w:rPr>
        <w:t xml:space="preserve">   </w:t>
      </w:r>
      <w:r w:rsidR="007F6ACB">
        <w:rPr>
          <w:b/>
          <w:bCs/>
          <w:lang w:val="nl-NL"/>
        </w:rPr>
        <w:t xml:space="preserve">   </w:t>
      </w:r>
      <w:r w:rsidRPr="00A7309E">
        <w:rPr>
          <w:iCs/>
          <w:lang w:val="nl-NL"/>
        </w:rPr>
        <w:t>7</w:t>
      </w:r>
      <w:r w:rsidRPr="000E6671">
        <w:rPr>
          <w:i/>
          <w:iCs/>
          <w:lang w:val="nl-NL"/>
        </w:rPr>
        <w:t>. Phương thức thoả thuận</w:t>
      </w:r>
      <w:r w:rsidRPr="000E6671">
        <w:rPr>
          <w:lang w:val="nl-NL"/>
        </w:rPr>
        <w:t xml:space="preserve"> là phương thức giao dịch trong đó các </w:t>
      </w:r>
      <w:r w:rsidR="00BF26E8">
        <w:rPr>
          <w:lang w:val="nl-NL"/>
        </w:rPr>
        <w:t>bên tham gia</w:t>
      </w:r>
      <w:r w:rsidR="00980BB4">
        <w:rPr>
          <w:lang w:val="nl-NL"/>
        </w:rPr>
        <w:t xml:space="preserve"> giao dịch</w:t>
      </w:r>
      <w:r w:rsidRPr="000E6671">
        <w:rPr>
          <w:lang w:val="nl-NL"/>
        </w:rPr>
        <w:t xml:space="preserve"> tự thoả thuận với nhau về các điều kiện giao dịch và được thành viên</w:t>
      </w:r>
      <w:r w:rsidR="00980BB4">
        <w:rPr>
          <w:lang w:val="nl-NL"/>
        </w:rPr>
        <w:t xml:space="preserve"> giao dịch</w:t>
      </w:r>
      <w:r w:rsidRPr="000E6671">
        <w:rPr>
          <w:lang w:val="nl-NL"/>
        </w:rPr>
        <w:t xml:space="preserve"> nhập thông tin vào hệ thống để ghi nhận</w:t>
      </w:r>
      <w:r w:rsidR="00011856">
        <w:rPr>
          <w:lang w:val="nl-NL"/>
        </w:rPr>
        <w:t xml:space="preserve"> kết quả giao dịch</w:t>
      </w:r>
      <w:r w:rsidRPr="000E6671">
        <w:rPr>
          <w:lang w:val="nl-NL"/>
        </w:rPr>
        <w:t>.</w:t>
      </w:r>
    </w:p>
    <w:p w:rsidR="000D245E" w:rsidRPr="00B52746" w:rsidRDefault="000D245E" w:rsidP="00181503">
      <w:pPr>
        <w:tabs>
          <w:tab w:val="center" w:pos="4441"/>
          <w:tab w:val="left" w:pos="7660"/>
        </w:tabs>
        <w:spacing w:before="120" w:after="100" w:afterAutospacing="1"/>
        <w:jc w:val="both"/>
        <w:rPr>
          <w:i/>
          <w:iCs/>
          <w:lang w:val="nl-NL"/>
        </w:rPr>
      </w:pPr>
      <w:r w:rsidRPr="000E6671">
        <w:rPr>
          <w:lang w:val="nl-NL"/>
        </w:rPr>
        <w:tab/>
        <w:t xml:space="preserve">    </w:t>
      </w:r>
      <w:r w:rsidR="004919DE">
        <w:rPr>
          <w:lang w:val="nl-NL"/>
        </w:rPr>
        <w:t xml:space="preserve">   </w:t>
      </w:r>
      <w:r w:rsidR="007F6ACB">
        <w:rPr>
          <w:lang w:val="nl-NL"/>
        </w:rPr>
        <w:t xml:space="preserve">   </w:t>
      </w:r>
      <w:r w:rsidRPr="00A7309E">
        <w:rPr>
          <w:iCs/>
          <w:lang w:val="nl-NL"/>
        </w:rPr>
        <w:t>8.</w:t>
      </w:r>
      <w:r w:rsidRPr="000E6671">
        <w:rPr>
          <w:i/>
          <w:iCs/>
          <w:lang w:val="nl-NL"/>
        </w:rPr>
        <w:t xml:space="preserve"> Giao dịch </w:t>
      </w:r>
      <w:r w:rsidR="00F25EEC">
        <w:rPr>
          <w:i/>
          <w:iCs/>
          <w:lang w:val="nl-NL"/>
        </w:rPr>
        <w:t>mua ký quỹ</w:t>
      </w:r>
      <w:r w:rsidRPr="000E6671">
        <w:rPr>
          <w:i/>
          <w:iCs/>
          <w:lang w:val="nl-NL"/>
        </w:rPr>
        <w:t xml:space="preserve"> chứng khoán </w:t>
      </w:r>
      <w:r w:rsidRPr="000E6671">
        <w:rPr>
          <w:lang w:val="nl-NL"/>
        </w:rPr>
        <w:t xml:space="preserve">là </w:t>
      </w:r>
      <w:r w:rsidR="0026314E" w:rsidRPr="003445EE">
        <w:rPr>
          <w:lang w:val="nl-NL"/>
        </w:rPr>
        <w:t>giao dịch mua chứng khoán của khách hàng có sử dụng tiền vay của công ty chứng khoán và khách hàng sử dụng các tài sản đáp ứng quy định có trong tài khoản và chứng khoán mua được bằng tiền vay để làm tài sản đảm bảo cho khoản vay</w:t>
      </w:r>
      <w:r w:rsidRPr="000E6671">
        <w:rPr>
          <w:lang w:val="nl-NL"/>
        </w:rPr>
        <w:t>.</w:t>
      </w:r>
    </w:p>
    <w:p w:rsidR="0065479F" w:rsidRDefault="004919DE" w:rsidP="00181503">
      <w:pPr>
        <w:keepNext/>
        <w:keepLines/>
        <w:spacing w:before="120" w:after="100" w:afterAutospacing="1"/>
        <w:jc w:val="both"/>
        <w:rPr>
          <w:lang w:val="nl-NL"/>
        </w:rPr>
      </w:pPr>
      <w:r>
        <w:rPr>
          <w:i/>
          <w:lang w:val="nl-NL"/>
        </w:rPr>
        <w:t xml:space="preserve">      </w:t>
      </w:r>
      <w:r w:rsidR="00C85FA0">
        <w:rPr>
          <w:i/>
          <w:lang w:val="nl-NL"/>
        </w:rPr>
        <w:t xml:space="preserve">    </w:t>
      </w:r>
      <w:r w:rsidR="00B52746">
        <w:rPr>
          <w:lang w:val="nl-NL"/>
        </w:rPr>
        <w:t>9</w:t>
      </w:r>
      <w:r w:rsidRPr="004919DE">
        <w:rPr>
          <w:i/>
          <w:lang w:val="nl-NL"/>
        </w:rPr>
        <w:t>.</w:t>
      </w:r>
      <w:r>
        <w:rPr>
          <w:lang w:val="nl-NL"/>
        </w:rPr>
        <w:t xml:space="preserve"> </w:t>
      </w:r>
      <w:r w:rsidRPr="000E6671">
        <w:rPr>
          <w:i/>
          <w:iCs/>
          <w:lang w:val="nl-NL"/>
        </w:rPr>
        <w:t>Thông tin nội bộ</w:t>
      </w:r>
      <w:r>
        <w:rPr>
          <w:lang w:val="nl-NL"/>
        </w:rPr>
        <w:t xml:space="preserve"> là thông tin</w:t>
      </w:r>
      <w:r w:rsidR="00FE74BD">
        <w:rPr>
          <w:lang w:val="nl-NL"/>
        </w:rPr>
        <w:t xml:space="preserve"> </w:t>
      </w:r>
      <w:r w:rsidR="00922D26">
        <w:rPr>
          <w:lang w:val="nl-NL"/>
        </w:rPr>
        <w:t>liên quan đến công ty đại chúng hoặc quỹ đại chúng chưa được công bố mà nếu được công bố có thể ảnh hưởng lớn đến giá chứng khoán của công ty đại chúng hoặc quỹ đại chúng đó.</w:t>
      </w:r>
    </w:p>
    <w:p w:rsidR="00AB73FE" w:rsidRPr="00AB73FE" w:rsidRDefault="00922D26" w:rsidP="00181503">
      <w:pPr>
        <w:keepNext/>
        <w:keepLines/>
        <w:spacing w:before="120" w:after="100" w:afterAutospacing="1"/>
        <w:jc w:val="both"/>
        <w:rPr>
          <w:lang w:val="nl-NL"/>
        </w:rPr>
      </w:pPr>
      <w:r>
        <w:rPr>
          <w:lang w:val="nl-NL"/>
        </w:rPr>
        <w:t xml:space="preserve"> </w:t>
      </w:r>
      <w:r w:rsidR="00C85FA0">
        <w:rPr>
          <w:lang w:val="nl-NL"/>
        </w:rPr>
        <w:t xml:space="preserve">     </w:t>
      </w:r>
      <w:r w:rsidR="0065479F">
        <w:rPr>
          <w:lang w:val="nl-NL"/>
        </w:rPr>
        <w:t xml:space="preserve">   </w:t>
      </w:r>
      <w:r w:rsidR="00C85FA0">
        <w:rPr>
          <w:lang w:val="nl-NL"/>
        </w:rPr>
        <w:t xml:space="preserve"> </w:t>
      </w:r>
      <w:r w:rsidR="0065479F">
        <w:rPr>
          <w:lang w:val="nl-NL"/>
        </w:rPr>
        <w:t>10</w:t>
      </w:r>
      <w:r w:rsidR="00AB73FE">
        <w:rPr>
          <w:i/>
          <w:lang w:val="nl-NL"/>
        </w:rPr>
        <w:t xml:space="preserve">. </w:t>
      </w:r>
      <w:r w:rsidR="00AB73FE" w:rsidRPr="004919DE">
        <w:rPr>
          <w:i/>
          <w:lang w:val="nl-NL"/>
        </w:rPr>
        <w:t>Giao dịch nội bộ</w:t>
      </w:r>
      <w:r w:rsidR="00AB73FE" w:rsidRPr="0016586E">
        <w:rPr>
          <w:b/>
          <w:i/>
          <w:lang w:val="nl-NL"/>
        </w:rPr>
        <w:t xml:space="preserve"> </w:t>
      </w:r>
      <w:r w:rsidR="00AB73FE" w:rsidRPr="00AB73FE">
        <w:rPr>
          <w:bCs/>
          <w:lang w:val="nl-NL"/>
        </w:rPr>
        <w:t xml:space="preserve">là </w:t>
      </w:r>
      <w:r w:rsidR="00E73D8E">
        <w:rPr>
          <w:bCs/>
          <w:lang w:val="nl-NL"/>
        </w:rPr>
        <w:t>giao dịch bao gồm các hành vi quy định tại Điều 70 Khoản 1 Nghị định 58/2012/NĐ-CP ngày 20/07/2012 của Chính phủ quy định chi tiết và hướng dẫn thi hành một số điều của Luật Chứng khoán và Luật sửa đổi, bổ sung một số điều của Luật Chứng khoán.</w:t>
      </w:r>
    </w:p>
    <w:p w:rsidR="0036583C" w:rsidRDefault="0009477D" w:rsidP="00181503">
      <w:pPr>
        <w:spacing w:before="120" w:after="100" w:afterAutospacing="1"/>
        <w:jc w:val="both"/>
        <w:rPr>
          <w:bCs/>
          <w:lang w:val="nl-NL"/>
        </w:rPr>
      </w:pPr>
      <w:r w:rsidRPr="00A7309E">
        <w:rPr>
          <w:bCs/>
          <w:color w:val="000000"/>
          <w:lang w:val="nl-NL"/>
        </w:rPr>
        <w:t xml:space="preserve">    </w:t>
      </w:r>
      <w:r w:rsidR="00C85FA0">
        <w:rPr>
          <w:bCs/>
          <w:color w:val="000000"/>
          <w:lang w:val="nl-NL"/>
        </w:rPr>
        <w:t xml:space="preserve">      </w:t>
      </w:r>
      <w:r w:rsidR="0065479F">
        <w:rPr>
          <w:bCs/>
          <w:color w:val="000000"/>
          <w:lang w:val="nl-NL"/>
        </w:rPr>
        <w:t>11</w:t>
      </w:r>
      <w:r w:rsidR="00AB73FE" w:rsidRPr="00A7309E">
        <w:rPr>
          <w:bCs/>
          <w:color w:val="000000"/>
          <w:lang w:val="nl-NL"/>
        </w:rPr>
        <w:t>.</w:t>
      </w:r>
      <w:r w:rsidR="00AB73FE">
        <w:rPr>
          <w:bCs/>
          <w:i/>
          <w:color w:val="000000"/>
          <w:lang w:val="nl-NL"/>
        </w:rPr>
        <w:t xml:space="preserve"> </w:t>
      </w:r>
      <w:r w:rsidR="00AB73FE" w:rsidRPr="004919DE">
        <w:rPr>
          <w:bCs/>
          <w:i/>
          <w:color w:val="000000"/>
          <w:lang w:val="nl-NL"/>
        </w:rPr>
        <w:t>Gi</w:t>
      </w:r>
      <w:r w:rsidR="00AB73FE" w:rsidRPr="004919DE">
        <w:rPr>
          <w:i/>
          <w:color w:val="000000"/>
          <w:lang w:val="nl-NL"/>
        </w:rPr>
        <w:t>ao dịch thao túng thị trường chứng khoán</w:t>
      </w:r>
      <w:r w:rsidR="00AB73FE" w:rsidRPr="0016586E">
        <w:rPr>
          <w:i/>
          <w:color w:val="000000"/>
          <w:lang w:val="nl-NL"/>
        </w:rPr>
        <w:t xml:space="preserve"> </w:t>
      </w:r>
      <w:r w:rsidR="0036583C" w:rsidRPr="00AB73FE">
        <w:rPr>
          <w:bCs/>
          <w:lang w:val="nl-NL"/>
        </w:rPr>
        <w:t xml:space="preserve">là </w:t>
      </w:r>
      <w:r w:rsidR="0036583C">
        <w:rPr>
          <w:bCs/>
          <w:lang w:val="nl-NL"/>
        </w:rPr>
        <w:t>giao dịch bao gồm các hành</w:t>
      </w:r>
      <w:r w:rsidR="00366FA7">
        <w:rPr>
          <w:bCs/>
          <w:lang w:val="nl-NL"/>
        </w:rPr>
        <w:t xml:space="preserve"> vi quy định tại Điều 70 Khoản 2</w:t>
      </w:r>
      <w:r w:rsidR="0036583C">
        <w:rPr>
          <w:bCs/>
          <w:lang w:val="nl-NL"/>
        </w:rPr>
        <w:t xml:space="preserve"> Nghị định 58/2012/NĐ-CP ngày 20/07/2012 của Chính phủ quy định chi tiết và hướng dẫn thi hành một số điều của Luật Chứng khoán và Luật sửa đổi, bổ sung một số điều của Luật Chứng khoán.</w:t>
      </w:r>
    </w:p>
    <w:p w:rsidR="00A01BB6" w:rsidRPr="003445EE" w:rsidRDefault="00454DB3" w:rsidP="00181503">
      <w:pPr>
        <w:spacing w:before="120" w:after="100" w:afterAutospacing="1"/>
        <w:ind w:firstLine="720"/>
        <w:jc w:val="both"/>
        <w:rPr>
          <w:lang w:val="nl-NL"/>
        </w:rPr>
      </w:pPr>
      <w:r>
        <w:rPr>
          <w:bCs/>
          <w:lang w:val="nl-NL"/>
        </w:rPr>
        <w:t xml:space="preserve">12. </w:t>
      </w:r>
      <w:r w:rsidRPr="003445EE">
        <w:rPr>
          <w:bCs/>
          <w:i/>
          <w:lang w:val="nl-NL"/>
        </w:rPr>
        <w:t>Giao dịch trong ngày</w:t>
      </w:r>
      <w:r>
        <w:rPr>
          <w:bCs/>
          <w:lang w:val="nl-NL"/>
        </w:rPr>
        <w:t xml:space="preserve"> </w:t>
      </w:r>
      <w:r w:rsidR="003276A3">
        <w:rPr>
          <w:bCs/>
          <w:lang w:val="nl-NL"/>
        </w:rPr>
        <w:t>là giao dịch theo phươ</w:t>
      </w:r>
      <w:r w:rsidR="00E948D1">
        <w:rPr>
          <w:bCs/>
          <w:lang w:val="nl-NL"/>
        </w:rPr>
        <w:t>ng thức thanh toán thông thường</w:t>
      </w:r>
      <w:r w:rsidR="00AA57F5">
        <w:rPr>
          <w:bCs/>
          <w:lang w:val="nl-NL"/>
        </w:rPr>
        <w:t>.</w:t>
      </w:r>
      <w:r w:rsidR="003276A3">
        <w:rPr>
          <w:bCs/>
          <w:lang w:val="nl-NL"/>
        </w:rPr>
        <w:t xml:space="preserve"> </w:t>
      </w:r>
      <w:r w:rsidR="00AA57F5">
        <w:rPr>
          <w:bCs/>
          <w:lang w:val="nl-NL"/>
        </w:rPr>
        <w:t>T</w:t>
      </w:r>
      <w:r w:rsidR="00A436B9">
        <w:rPr>
          <w:bCs/>
          <w:lang w:val="nl-NL"/>
        </w:rPr>
        <w:t>heo đó</w:t>
      </w:r>
      <w:r w:rsidR="00B03352">
        <w:rPr>
          <w:bCs/>
          <w:lang w:val="nl-NL"/>
        </w:rPr>
        <w:t>,</w:t>
      </w:r>
      <w:r w:rsidR="00A436B9">
        <w:rPr>
          <w:bCs/>
          <w:lang w:val="nl-NL"/>
        </w:rPr>
        <w:t xml:space="preserve"> sau</w:t>
      </w:r>
      <w:r w:rsidR="0059068A">
        <w:rPr>
          <w:bCs/>
          <w:lang w:val="nl-NL"/>
        </w:rPr>
        <w:t xml:space="preserve"> khi </w:t>
      </w:r>
      <w:r w:rsidR="003445EE">
        <w:rPr>
          <w:bCs/>
          <w:lang w:val="nl-NL"/>
        </w:rPr>
        <w:t xml:space="preserve">đã </w:t>
      </w:r>
      <w:r w:rsidR="0059068A">
        <w:rPr>
          <w:bCs/>
          <w:lang w:val="nl-NL"/>
        </w:rPr>
        <w:t>mua</w:t>
      </w:r>
      <w:r w:rsidR="003445EE">
        <w:rPr>
          <w:bCs/>
          <w:lang w:val="nl-NL"/>
        </w:rPr>
        <w:t xml:space="preserve"> hoặc </w:t>
      </w:r>
      <w:r w:rsidR="0059068A">
        <w:rPr>
          <w:bCs/>
          <w:lang w:val="nl-NL"/>
        </w:rPr>
        <w:t xml:space="preserve">bán </w:t>
      </w:r>
      <w:r w:rsidR="003445EE">
        <w:rPr>
          <w:bCs/>
          <w:lang w:val="nl-NL"/>
        </w:rPr>
        <w:t>thì nhà đầu tư có trách nhiệm bán, hoặc mua</w:t>
      </w:r>
      <w:r w:rsidR="0059068A">
        <w:rPr>
          <w:bCs/>
          <w:lang w:val="nl-NL"/>
        </w:rPr>
        <w:t xml:space="preserve"> </w:t>
      </w:r>
      <w:r w:rsidR="006F4FA1">
        <w:rPr>
          <w:bCs/>
          <w:lang w:val="nl-NL"/>
        </w:rPr>
        <w:t>m</w:t>
      </w:r>
      <w:r w:rsidR="0059068A">
        <w:rPr>
          <w:bCs/>
          <w:lang w:val="nl-NL"/>
        </w:rPr>
        <w:t xml:space="preserve">ột lượng chứng khoán tương đương </w:t>
      </w:r>
      <w:r w:rsidR="003445EE">
        <w:rPr>
          <w:bCs/>
          <w:lang w:val="nl-NL"/>
        </w:rPr>
        <w:t>để</w:t>
      </w:r>
      <w:r w:rsidR="0059068A">
        <w:rPr>
          <w:bCs/>
          <w:lang w:val="nl-NL"/>
        </w:rPr>
        <w:t xml:space="preserve"> bù trừ </w:t>
      </w:r>
      <w:r w:rsidR="003445EE">
        <w:rPr>
          <w:bCs/>
          <w:lang w:val="nl-NL"/>
        </w:rPr>
        <w:t xml:space="preserve">cho giao dịch đã thực hiện trước đó </w:t>
      </w:r>
      <w:r w:rsidR="0059068A">
        <w:rPr>
          <w:bCs/>
          <w:lang w:val="nl-NL"/>
        </w:rPr>
        <w:t>trong cùng ngày giao dịch</w:t>
      </w:r>
      <w:r w:rsidR="003445EE">
        <w:rPr>
          <w:bCs/>
          <w:lang w:val="nl-NL"/>
        </w:rPr>
        <w:t>.</w:t>
      </w:r>
      <w:r w:rsidR="0059068A">
        <w:rPr>
          <w:bCs/>
          <w:lang w:val="nl-NL"/>
        </w:rPr>
        <w:t xml:space="preserve"> </w:t>
      </w:r>
      <w:r w:rsidR="003445EE">
        <w:rPr>
          <w:bCs/>
          <w:lang w:val="nl-NL"/>
        </w:rPr>
        <w:t>V</w:t>
      </w:r>
      <w:r w:rsidR="0059068A">
        <w:rPr>
          <w:bCs/>
          <w:lang w:val="nl-NL"/>
        </w:rPr>
        <w:t xml:space="preserve">iệc thanh toán được thực hiện </w:t>
      </w:r>
      <w:r w:rsidR="003445EE">
        <w:rPr>
          <w:bCs/>
          <w:lang w:val="nl-NL"/>
        </w:rPr>
        <w:t xml:space="preserve">giữa công ty chứng khoán và nhà đầu tư </w:t>
      </w:r>
      <w:r w:rsidR="0059068A">
        <w:rPr>
          <w:bCs/>
          <w:lang w:val="nl-NL"/>
        </w:rPr>
        <w:t>dựa trên chênh lệch giá sau khi bù trừ các giao dịch đối ứng.</w:t>
      </w:r>
    </w:p>
    <w:p w:rsidR="00AE0F8C" w:rsidRPr="003445EE" w:rsidRDefault="00AE0F8C" w:rsidP="00181503">
      <w:pPr>
        <w:spacing w:before="120" w:after="100" w:afterAutospacing="1"/>
        <w:ind w:firstLine="720"/>
        <w:jc w:val="both"/>
        <w:rPr>
          <w:lang w:val="nl-NL"/>
        </w:rPr>
      </w:pPr>
    </w:p>
    <w:p w:rsidR="00900185" w:rsidRPr="003445EE" w:rsidRDefault="00900185" w:rsidP="00181503">
      <w:pPr>
        <w:spacing w:before="120" w:after="100" w:afterAutospacing="1"/>
        <w:ind w:firstLine="720"/>
        <w:jc w:val="both"/>
        <w:rPr>
          <w:lang w:val="nl-NL"/>
        </w:rPr>
      </w:pPr>
      <w:r w:rsidRPr="003445EE">
        <w:rPr>
          <w:lang w:val="nl-NL"/>
        </w:rPr>
        <w:t xml:space="preserve">13. </w:t>
      </w:r>
      <w:r w:rsidRPr="003445EE">
        <w:rPr>
          <w:i/>
          <w:lang w:val="nl-NL"/>
        </w:rPr>
        <w:t>Giao dịch mua bán bắt buộc</w:t>
      </w:r>
      <w:r w:rsidRPr="003445EE">
        <w:rPr>
          <w:lang w:val="nl-NL"/>
        </w:rPr>
        <w:t xml:space="preserve"> </w:t>
      </w:r>
      <w:r w:rsidR="003445EE">
        <w:rPr>
          <w:lang w:val="nl-NL"/>
        </w:rPr>
        <w:t xml:space="preserve">(buy-in, sell-out) </w:t>
      </w:r>
      <w:r w:rsidRPr="003445EE">
        <w:rPr>
          <w:lang w:val="nl-NL"/>
        </w:rPr>
        <w:t>là</w:t>
      </w:r>
      <w:r w:rsidR="000B4710" w:rsidRPr="003445EE">
        <w:rPr>
          <w:lang w:val="nl-NL"/>
        </w:rPr>
        <w:t xml:space="preserve"> việc </w:t>
      </w:r>
      <w:r w:rsidR="003445EE">
        <w:rPr>
          <w:lang w:val="nl-NL"/>
        </w:rPr>
        <w:t>công ty chứng khoán, khách hàng buộc</w:t>
      </w:r>
      <w:r w:rsidR="000B4710" w:rsidRPr="003445EE">
        <w:rPr>
          <w:lang w:val="nl-NL"/>
        </w:rPr>
        <w:t xml:space="preserve"> phải mua vào</w:t>
      </w:r>
      <w:r w:rsidR="003445EE">
        <w:rPr>
          <w:lang w:val="nl-NL"/>
        </w:rPr>
        <w:t xml:space="preserve"> hoặc</w:t>
      </w:r>
      <w:r w:rsidR="009519BB" w:rsidRPr="003445EE">
        <w:rPr>
          <w:lang w:val="nl-NL"/>
        </w:rPr>
        <w:t xml:space="preserve"> bán ra</w:t>
      </w:r>
      <w:r w:rsidR="000B4710" w:rsidRPr="003445EE">
        <w:rPr>
          <w:lang w:val="nl-NL"/>
        </w:rPr>
        <w:t xml:space="preserve"> </w:t>
      </w:r>
      <w:r w:rsidR="003445EE">
        <w:rPr>
          <w:lang w:val="nl-NL"/>
        </w:rPr>
        <w:t xml:space="preserve">một số lượng </w:t>
      </w:r>
      <w:r w:rsidR="000B4710" w:rsidRPr="003445EE">
        <w:rPr>
          <w:lang w:val="nl-NL"/>
        </w:rPr>
        <w:t xml:space="preserve">chứng khoán </w:t>
      </w:r>
      <w:r w:rsidR="003445EE">
        <w:rPr>
          <w:lang w:val="nl-NL"/>
        </w:rPr>
        <w:t>nhất định theo phương thức giao dịch thỏa thuận và được thanh toán</w:t>
      </w:r>
      <w:r w:rsidR="003C02CD">
        <w:rPr>
          <w:lang w:val="nl-NL"/>
        </w:rPr>
        <w:t>,</w:t>
      </w:r>
      <w:r w:rsidR="003445EE">
        <w:rPr>
          <w:lang w:val="nl-NL"/>
        </w:rPr>
        <w:t xml:space="preserve"> chuyển giao ngay trong ngày giao dịch</w:t>
      </w:r>
      <w:r w:rsidR="009519BB" w:rsidRPr="003445EE">
        <w:rPr>
          <w:lang w:val="nl-NL"/>
        </w:rPr>
        <w:t>.</w:t>
      </w:r>
    </w:p>
    <w:p w:rsidR="00701B7C" w:rsidRPr="00701B7C" w:rsidRDefault="001A346F" w:rsidP="00181503">
      <w:pPr>
        <w:spacing w:before="120" w:after="100" w:afterAutospacing="1"/>
        <w:ind w:firstLine="720"/>
        <w:jc w:val="both"/>
        <w:rPr>
          <w:lang w:val="nl-NL"/>
        </w:rPr>
      </w:pPr>
      <w:r w:rsidRPr="003445EE">
        <w:rPr>
          <w:lang w:val="nl-NL"/>
        </w:rPr>
        <w:t>1</w:t>
      </w:r>
      <w:r w:rsidR="00900185" w:rsidRPr="003445EE">
        <w:rPr>
          <w:lang w:val="nl-NL"/>
        </w:rPr>
        <w:t>4</w:t>
      </w:r>
      <w:r w:rsidR="00CF2B45" w:rsidRPr="003445EE">
        <w:rPr>
          <w:lang w:val="nl-NL"/>
        </w:rPr>
        <w:t>.</w:t>
      </w:r>
      <w:r w:rsidR="00CF2B45" w:rsidRPr="00701B7C">
        <w:rPr>
          <w:lang w:val="nl-NL"/>
        </w:rPr>
        <w:t xml:space="preserve"> </w:t>
      </w:r>
      <w:r w:rsidR="00CF2B45" w:rsidRPr="00B555C9">
        <w:rPr>
          <w:i/>
          <w:lang w:val="nl-NL"/>
        </w:rPr>
        <w:t xml:space="preserve">Tài khoản </w:t>
      </w:r>
      <w:r w:rsidR="003445EE" w:rsidRPr="00B555C9">
        <w:rPr>
          <w:i/>
          <w:lang w:val="nl-NL"/>
        </w:rPr>
        <w:t>tổng</w:t>
      </w:r>
      <w:r w:rsidR="003445EE">
        <w:rPr>
          <w:lang w:val="nl-NL"/>
        </w:rPr>
        <w:t xml:space="preserve"> (</w:t>
      </w:r>
      <w:r w:rsidR="00964397">
        <w:rPr>
          <w:lang w:val="nl-NL"/>
        </w:rPr>
        <w:t>o</w:t>
      </w:r>
      <w:r w:rsidR="003445EE">
        <w:rPr>
          <w:lang w:val="nl-NL"/>
        </w:rPr>
        <w:t>mnibus account)</w:t>
      </w:r>
      <w:r w:rsidR="00CF2B45" w:rsidRPr="00701B7C">
        <w:rPr>
          <w:lang w:val="nl-NL"/>
        </w:rPr>
        <w:t xml:space="preserve"> là tài khoản </w:t>
      </w:r>
      <w:r w:rsidR="00B555C9">
        <w:rPr>
          <w:lang w:val="nl-NL"/>
        </w:rPr>
        <w:t>do</w:t>
      </w:r>
      <w:r w:rsidR="00CF2B45" w:rsidRPr="00701B7C">
        <w:rPr>
          <w:lang w:val="nl-NL"/>
        </w:rPr>
        <w:t xml:space="preserve"> </w:t>
      </w:r>
      <w:r w:rsidR="003445EE">
        <w:rPr>
          <w:lang w:val="nl-NL"/>
        </w:rPr>
        <w:t>tổ chức quản lý tài khoản</w:t>
      </w:r>
      <w:r w:rsidR="00B555C9">
        <w:rPr>
          <w:lang w:val="nl-NL"/>
        </w:rPr>
        <w:t xml:space="preserve"> đứng danh</w:t>
      </w:r>
      <w:r w:rsidR="003445EE">
        <w:rPr>
          <w:lang w:val="nl-NL"/>
        </w:rPr>
        <w:t>,</w:t>
      </w:r>
      <w:r w:rsidR="00CF2B45" w:rsidRPr="00701B7C">
        <w:rPr>
          <w:lang w:val="nl-NL"/>
        </w:rPr>
        <w:t xml:space="preserve"> </w:t>
      </w:r>
      <w:r w:rsidR="00B555C9">
        <w:rPr>
          <w:lang w:val="nl-NL"/>
        </w:rPr>
        <w:t xml:space="preserve">thay mặt cho </w:t>
      </w:r>
      <w:r w:rsidR="00CF2B45" w:rsidRPr="00701B7C">
        <w:rPr>
          <w:lang w:val="nl-NL"/>
        </w:rPr>
        <w:t xml:space="preserve">chủ sở hữu tài </w:t>
      </w:r>
      <w:r w:rsidR="003445EE">
        <w:rPr>
          <w:lang w:val="nl-NL"/>
        </w:rPr>
        <w:t>khoản</w:t>
      </w:r>
      <w:r w:rsidR="003445EE" w:rsidRPr="00701B7C">
        <w:rPr>
          <w:lang w:val="nl-NL"/>
        </w:rPr>
        <w:t xml:space="preserve"> </w:t>
      </w:r>
      <w:r w:rsidR="00CF2B45" w:rsidRPr="00701B7C">
        <w:rPr>
          <w:lang w:val="nl-NL"/>
        </w:rPr>
        <w:t xml:space="preserve">là các </w:t>
      </w:r>
      <w:r w:rsidR="003445EE">
        <w:rPr>
          <w:lang w:val="nl-NL"/>
        </w:rPr>
        <w:t>tổ chức, cá nhân khác</w:t>
      </w:r>
      <w:r w:rsidR="0009320E" w:rsidRPr="00701B7C">
        <w:rPr>
          <w:lang w:val="nl-NL"/>
        </w:rPr>
        <w:t>.</w:t>
      </w:r>
    </w:p>
    <w:p w:rsidR="00C85FA0" w:rsidRDefault="0099175D" w:rsidP="00181503">
      <w:pPr>
        <w:spacing w:before="120" w:after="100" w:afterAutospacing="1"/>
        <w:ind w:firstLine="720"/>
        <w:rPr>
          <w:b/>
          <w:bCs/>
          <w:lang w:val="nl-NL"/>
        </w:rPr>
      </w:pPr>
      <w:r>
        <w:rPr>
          <w:b/>
          <w:bCs/>
          <w:lang w:val="nl-NL"/>
        </w:rPr>
        <w:t xml:space="preserve">                                           </w:t>
      </w:r>
      <w:r w:rsidR="00C85FA0">
        <w:rPr>
          <w:b/>
          <w:bCs/>
          <w:lang w:val="nl-NL"/>
        </w:rPr>
        <w:t>Chương II</w:t>
      </w:r>
    </w:p>
    <w:p w:rsidR="000D245E" w:rsidRPr="000E6671" w:rsidRDefault="000D245E" w:rsidP="00181503">
      <w:pPr>
        <w:spacing w:before="120" w:after="100" w:afterAutospacing="1"/>
        <w:jc w:val="center"/>
        <w:rPr>
          <w:b/>
          <w:bCs/>
          <w:lang w:val="nl-NL"/>
        </w:rPr>
      </w:pPr>
      <w:r w:rsidRPr="000E6671">
        <w:rPr>
          <w:b/>
          <w:bCs/>
          <w:lang w:val="nl-NL"/>
        </w:rPr>
        <w:t xml:space="preserve"> </w:t>
      </w:r>
      <w:r w:rsidR="00511F8E">
        <w:rPr>
          <w:b/>
          <w:bCs/>
          <w:lang w:val="nl-NL"/>
        </w:rPr>
        <w:t>QUY ĐỊNH CỤ THỂ</w:t>
      </w:r>
    </w:p>
    <w:p w:rsidR="000D245E" w:rsidRPr="000E6671" w:rsidRDefault="006B06FF" w:rsidP="00181503">
      <w:pPr>
        <w:tabs>
          <w:tab w:val="center" w:pos="720"/>
          <w:tab w:val="left" w:pos="7660"/>
        </w:tabs>
        <w:spacing w:before="120" w:after="100" w:afterAutospacing="1"/>
        <w:rPr>
          <w:b/>
          <w:bCs/>
          <w:lang w:val="nl-NL"/>
        </w:rPr>
      </w:pPr>
      <w:r>
        <w:rPr>
          <w:b/>
          <w:bCs/>
          <w:lang w:val="nl-NL"/>
        </w:rPr>
        <w:tab/>
        <w:t xml:space="preserve">            </w:t>
      </w:r>
      <w:r w:rsidR="00A7309E">
        <w:rPr>
          <w:b/>
          <w:bCs/>
          <w:lang w:val="nl-NL"/>
        </w:rPr>
        <w:t xml:space="preserve">Điều </w:t>
      </w:r>
      <w:r w:rsidR="00A51F5F">
        <w:rPr>
          <w:b/>
          <w:bCs/>
          <w:lang w:val="nl-NL"/>
        </w:rPr>
        <w:t xml:space="preserve">3. </w:t>
      </w:r>
      <w:r w:rsidR="007443C9">
        <w:rPr>
          <w:b/>
          <w:bCs/>
          <w:lang w:val="nl-NL"/>
        </w:rPr>
        <w:t>Tổ chức g</w:t>
      </w:r>
      <w:r w:rsidR="00045157">
        <w:rPr>
          <w:b/>
          <w:bCs/>
          <w:lang w:val="nl-NL"/>
        </w:rPr>
        <w:t>iao dịch chứng khoán</w:t>
      </w:r>
    </w:p>
    <w:p w:rsidR="00BB17DC" w:rsidRPr="000E6671" w:rsidRDefault="000D245E" w:rsidP="00181503">
      <w:pPr>
        <w:tabs>
          <w:tab w:val="center" w:pos="4441"/>
          <w:tab w:val="left" w:pos="7660"/>
        </w:tabs>
        <w:spacing w:before="120" w:after="100" w:afterAutospacing="1"/>
        <w:ind w:firstLine="810"/>
        <w:jc w:val="both"/>
        <w:rPr>
          <w:lang w:val="nl-NL"/>
        </w:rPr>
      </w:pPr>
      <w:r w:rsidRPr="000E6671">
        <w:rPr>
          <w:lang w:val="nl-NL"/>
        </w:rPr>
        <w:t>1.</w:t>
      </w:r>
      <w:r w:rsidR="00BB17DC" w:rsidRPr="00BB17DC">
        <w:rPr>
          <w:lang w:val="nl-NL"/>
        </w:rPr>
        <w:t xml:space="preserve"> </w:t>
      </w:r>
      <w:r w:rsidR="00BB17DC" w:rsidRPr="000E6671">
        <w:rPr>
          <w:lang w:val="nl-NL"/>
        </w:rPr>
        <w:t xml:space="preserve">SGDCK </w:t>
      </w:r>
      <w:r w:rsidR="00127D4B">
        <w:rPr>
          <w:lang w:val="nl-NL"/>
        </w:rPr>
        <w:t>tổ chức</w:t>
      </w:r>
      <w:r w:rsidR="00BB17DC" w:rsidRPr="000E6671">
        <w:rPr>
          <w:lang w:val="nl-NL"/>
        </w:rPr>
        <w:t xml:space="preserve"> </w:t>
      </w:r>
      <w:r w:rsidR="00127D4B">
        <w:rPr>
          <w:lang w:val="nl-NL"/>
        </w:rPr>
        <w:t xml:space="preserve">giao dịch chứng khoán theo phương thức khớp lệnh và phương thức thỏa thuận. Phương thức </w:t>
      </w:r>
      <w:r w:rsidR="00997291" w:rsidRPr="000E6671">
        <w:rPr>
          <w:lang w:val="nl-NL"/>
        </w:rPr>
        <w:t>khớp lệnh</w:t>
      </w:r>
      <w:r w:rsidR="00997291">
        <w:rPr>
          <w:lang w:val="nl-NL"/>
        </w:rPr>
        <w:t xml:space="preserve"> </w:t>
      </w:r>
      <w:r w:rsidR="00997291" w:rsidRPr="000E6671">
        <w:rPr>
          <w:lang w:val="nl-NL"/>
        </w:rPr>
        <w:t xml:space="preserve">trên hệ thống giao dịch </w:t>
      </w:r>
      <w:r w:rsidR="00127D4B">
        <w:rPr>
          <w:lang w:val="nl-NL"/>
        </w:rPr>
        <w:t xml:space="preserve">thực hiện </w:t>
      </w:r>
      <w:r w:rsidR="00BB17DC">
        <w:rPr>
          <w:lang w:val="nl-NL"/>
        </w:rPr>
        <w:t xml:space="preserve">theo nguyên tắc ưu tiên về giá </w:t>
      </w:r>
      <w:r w:rsidR="00BB17DC" w:rsidRPr="000E6671">
        <w:rPr>
          <w:lang w:val="nl-NL"/>
        </w:rPr>
        <w:t>và thời gian</w:t>
      </w:r>
      <w:r w:rsidR="00E95F43">
        <w:rPr>
          <w:lang w:val="nl-NL"/>
        </w:rPr>
        <w:t>.</w:t>
      </w:r>
    </w:p>
    <w:p w:rsidR="001714DB" w:rsidRPr="00C75118" w:rsidRDefault="006B06FF" w:rsidP="00C75118">
      <w:pPr>
        <w:keepNext/>
        <w:keepLines/>
        <w:spacing w:before="120" w:after="100" w:afterAutospacing="1"/>
        <w:ind w:firstLine="560"/>
        <w:jc w:val="both"/>
        <w:rPr>
          <w:lang w:val="nl-NL"/>
        </w:rPr>
      </w:pPr>
      <w:r>
        <w:rPr>
          <w:lang w:val="nl-NL"/>
        </w:rPr>
        <w:t xml:space="preserve">   </w:t>
      </w:r>
      <w:r w:rsidR="00E9554B">
        <w:rPr>
          <w:lang w:val="nl-NL"/>
        </w:rPr>
        <w:t xml:space="preserve"> </w:t>
      </w:r>
      <w:r w:rsidR="00BB17DC">
        <w:rPr>
          <w:lang w:val="nl-NL"/>
        </w:rPr>
        <w:t xml:space="preserve">2. </w:t>
      </w:r>
      <w:r w:rsidR="000D245E" w:rsidRPr="000E6671">
        <w:rPr>
          <w:lang w:val="nl-NL"/>
        </w:rPr>
        <w:t>SGDCK tổ chức</w:t>
      </w:r>
      <w:r w:rsidR="00BD4327">
        <w:rPr>
          <w:lang w:val="nl-NL"/>
        </w:rPr>
        <w:t xml:space="preserve"> giao dịch</w:t>
      </w:r>
      <w:r w:rsidR="000D245E" w:rsidRPr="000E6671">
        <w:rPr>
          <w:lang w:val="nl-NL"/>
        </w:rPr>
        <w:t xml:space="preserve"> chứng khoán niêm yết</w:t>
      </w:r>
      <w:r w:rsidR="00BD4327">
        <w:rPr>
          <w:lang w:val="nl-NL"/>
        </w:rPr>
        <w:t xml:space="preserve">, </w:t>
      </w:r>
      <w:r w:rsidR="003445EE">
        <w:rPr>
          <w:lang w:val="nl-NL"/>
        </w:rPr>
        <w:t xml:space="preserve">chứng khoán </w:t>
      </w:r>
      <w:r w:rsidR="00BD4327">
        <w:rPr>
          <w:lang w:val="nl-NL"/>
        </w:rPr>
        <w:t>đăng ký giao dịch</w:t>
      </w:r>
      <w:r w:rsidR="000D245E" w:rsidRPr="000E6671">
        <w:rPr>
          <w:lang w:val="nl-NL"/>
        </w:rPr>
        <w:t>, ngoại trừ</w:t>
      </w:r>
      <w:r w:rsidR="00C75118">
        <w:rPr>
          <w:lang w:val="nl-NL"/>
        </w:rPr>
        <w:t xml:space="preserve"> c</w:t>
      </w:r>
      <w:r w:rsidR="001714DB" w:rsidRPr="00212568">
        <w:rPr>
          <w:color w:val="000000"/>
          <w:lang w:val="nl-NL"/>
        </w:rPr>
        <w:t xml:space="preserve">ác trường hợp chuyển quyền sở hữu ngoài hệ thống giao dịch đối với các giao dịch </w:t>
      </w:r>
      <w:r w:rsidR="00C75118">
        <w:rPr>
          <w:color w:val="000000"/>
          <w:lang w:val="nl-NL"/>
        </w:rPr>
        <w:t>theo quy định của pháp luật chứng khoán về đăng ký, lưu ký, thanh toán, bù trừ.</w:t>
      </w:r>
    </w:p>
    <w:p w:rsidR="000D245E" w:rsidRPr="000E6671" w:rsidRDefault="00C75118" w:rsidP="00181503">
      <w:pPr>
        <w:tabs>
          <w:tab w:val="center" w:pos="4441"/>
          <w:tab w:val="left" w:pos="7660"/>
        </w:tabs>
        <w:spacing w:before="120" w:after="100" w:afterAutospacing="1"/>
        <w:ind w:firstLine="560"/>
        <w:jc w:val="both"/>
        <w:rPr>
          <w:lang w:val="nl-NL"/>
        </w:rPr>
      </w:pPr>
      <w:r>
        <w:rPr>
          <w:lang w:val="nl-NL"/>
        </w:rPr>
        <w:t xml:space="preserve">   </w:t>
      </w:r>
      <w:r w:rsidR="00BB17DC" w:rsidRPr="008C4895">
        <w:rPr>
          <w:color w:val="000000"/>
          <w:lang w:val="nl-NL"/>
        </w:rPr>
        <w:t>3</w:t>
      </w:r>
      <w:r w:rsidR="000D245E" w:rsidRPr="008C4895">
        <w:rPr>
          <w:color w:val="000000"/>
          <w:lang w:val="nl-NL"/>
        </w:rPr>
        <w:t>. SGDCK ban hành Quy chế</w:t>
      </w:r>
      <w:r w:rsidR="00852A2F" w:rsidRPr="008C4895">
        <w:rPr>
          <w:color w:val="000000"/>
          <w:lang w:val="nl-NL"/>
        </w:rPr>
        <w:t xml:space="preserve"> hướng dẫn</w:t>
      </w:r>
      <w:r w:rsidR="000D245E" w:rsidRPr="008C4895">
        <w:rPr>
          <w:color w:val="000000"/>
          <w:lang w:val="nl-NL"/>
        </w:rPr>
        <w:t xml:space="preserve"> </w:t>
      </w:r>
      <w:r w:rsidR="00BB17DC" w:rsidRPr="008C4895">
        <w:rPr>
          <w:color w:val="000000"/>
          <w:lang w:val="nl-NL"/>
        </w:rPr>
        <w:t>giao</w:t>
      </w:r>
      <w:r w:rsidR="00BB17DC">
        <w:rPr>
          <w:lang w:val="nl-NL"/>
        </w:rPr>
        <w:t xml:space="preserve"> dịch</w:t>
      </w:r>
      <w:r w:rsidR="006D5861">
        <w:rPr>
          <w:lang w:val="nl-NL"/>
        </w:rPr>
        <w:t xml:space="preserve"> chứng khoán</w:t>
      </w:r>
      <w:r w:rsidR="00BB17DC">
        <w:rPr>
          <w:lang w:val="nl-NL"/>
        </w:rPr>
        <w:t xml:space="preserve"> sau khi được UBCKNN chấp thuận. Quy chế</w:t>
      </w:r>
      <w:r w:rsidR="00852A2F">
        <w:rPr>
          <w:lang w:val="nl-NL"/>
        </w:rPr>
        <w:t xml:space="preserve"> hướng dẫn</w:t>
      </w:r>
      <w:r w:rsidR="00BB17DC">
        <w:rPr>
          <w:lang w:val="nl-NL"/>
        </w:rPr>
        <w:t xml:space="preserve"> giao dịch</w:t>
      </w:r>
      <w:r w:rsidR="006D5861">
        <w:rPr>
          <w:lang w:val="nl-NL"/>
        </w:rPr>
        <w:t xml:space="preserve"> chứng khoán quy định cụ thể </w:t>
      </w:r>
      <w:r w:rsidR="00C45FBA">
        <w:rPr>
          <w:lang w:val="nl-NL"/>
        </w:rPr>
        <w:t xml:space="preserve">về: </w:t>
      </w:r>
      <w:r w:rsidR="006D5861">
        <w:rPr>
          <w:lang w:val="nl-NL"/>
        </w:rPr>
        <w:t>Thời gian giao dịch</w:t>
      </w:r>
      <w:r w:rsidR="00C45FBA" w:rsidRPr="000E6671">
        <w:rPr>
          <w:lang w:val="nl-NL"/>
        </w:rPr>
        <w:t>;</w:t>
      </w:r>
      <w:r w:rsidR="00C45FBA">
        <w:rPr>
          <w:lang w:val="nl-NL"/>
        </w:rPr>
        <w:t xml:space="preserve"> </w:t>
      </w:r>
      <w:r w:rsidR="00C45FBA" w:rsidRPr="000E6671">
        <w:rPr>
          <w:lang w:val="nl-NL"/>
        </w:rPr>
        <w:t>Phương thức giao dịch;</w:t>
      </w:r>
      <w:r w:rsidR="00C45FBA">
        <w:rPr>
          <w:lang w:val="nl-NL"/>
        </w:rPr>
        <w:t xml:space="preserve"> </w:t>
      </w:r>
      <w:r w:rsidR="00C45FBA" w:rsidRPr="000E6671">
        <w:rPr>
          <w:lang w:val="nl-NL"/>
        </w:rPr>
        <w:t>Cách xác định giá tham chiếu;</w:t>
      </w:r>
      <w:r w:rsidR="00C45FBA">
        <w:rPr>
          <w:lang w:val="nl-NL"/>
        </w:rPr>
        <w:t xml:space="preserve"> </w:t>
      </w:r>
      <w:r w:rsidR="00C45FBA" w:rsidRPr="000E6671">
        <w:rPr>
          <w:lang w:val="nl-NL"/>
        </w:rPr>
        <w:t>Biên độ dao động giá chứng khoán; Các loại lệnh giao dịch;</w:t>
      </w:r>
      <w:r w:rsidR="00C45FBA">
        <w:rPr>
          <w:lang w:val="nl-NL"/>
        </w:rPr>
        <w:t xml:space="preserve"> </w:t>
      </w:r>
      <w:r w:rsidR="00C45FBA" w:rsidRPr="000E6671">
        <w:rPr>
          <w:lang w:val="nl-NL"/>
        </w:rPr>
        <w:t>Việc sửa lệnh, hủy lệnh giao dịch</w:t>
      </w:r>
      <w:r w:rsidR="00BB17DC">
        <w:rPr>
          <w:lang w:val="nl-NL"/>
        </w:rPr>
        <w:t xml:space="preserve"> và các nội dung khác có liên quan</w:t>
      </w:r>
      <w:r w:rsidR="000D245E" w:rsidRPr="000E6671">
        <w:rPr>
          <w:lang w:val="nl-NL"/>
        </w:rPr>
        <w:t xml:space="preserve">. </w:t>
      </w:r>
    </w:p>
    <w:p w:rsidR="000D245E" w:rsidRPr="00EE3DFA" w:rsidRDefault="000217B3" w:rsidP="00181503">
      <w:pPr>
        <w:tabs>
          <w:tab w:val="center" w:pos="4441"/>
          <w:tab w:val="left" w:pos="7660"/>
        </w:tabs>
        <w:spacing w:before="120" w:after="100" w:afterAutospacing="1"/>
        <w:ind w:firstLine="560"/>
        <w:jc w:val="both"/>
        <w:rPr>
          <w:lang w:val="nl-NL"/>
        </w:rPr>
      </w:pPr>
      <w:r>
        <w:rPr>
          <w:lang w:val="nl-NL"/>
        </w:rPr>
        <w:t xml:space="preserve">   </w:t>
      </w:r>
      <w:r w:rsidR="00324C9C">
        <w:rPr>
          <w:lang w:val="nl-NL"/>
        </w:rPr>
        <w:t xml:space="preserve"> </w:t>
      </w:r>
      <w:r w:rsidR="00EE44BF">
        <w:rPr>
          <w:lang w:val="nl-NL"/>
        </w:rPr>
        <w:t>4</w:t>
      </w:r>
      <w:r w:rsidR="000D245E" w:rsidRPr="000E6671">
        <w:rPr>
          <w:lang w:val="nl-NL"/>
        </w:rPr>
        <w:t xml:space="preserve">. </w:t>
      </w:r>
      <w:r w:rsidR="00C76895" w:rsidRPr="003445EE">
        <w:rPr>
          <w:lang w:val="nl-NL"/>
        </w:rPr>
        <w:t>TTLKCK</w:t>
      </w:r>
      <w:r w:rsidR="00C76895" w:rsidRPr="00C76895">
        <w:rPr>
          <w:lang w:val="id-ID"/>
        </w:rPr>
        <w:t xml:space="preserve"> cấp mã chứng khoán trong nước cho các chứng khoán đăng ký tại </w:t>
      </w:r>
      <w:r w:rsidR="00ED085C" w:rsidRPr="003445EE">
        <w:rPr>
          <w:lang w:val="nl-NL"/>
        </w:rPr>
        <w:t>TTLKCK</w:t>
      </w:r>
      <w:r w:rsidR="00C76895" w:rsidRPr="00C76895">
        <w:rPr>
          <w:lang w:val="id-ID"/>
        </w:rPr>
        <w:t xml:space="preserve"> và mã này được sử dụng thống nhất khi niêm yết</w:t>
      </w:r>
      <w:r w:rsidR="00C233E6" w:rsidRPr="00C233E6">
        <w:rPr>
          <w:lang w:val="nl-NL"/>
        </w:rPr>
        <w:t xml:space="preserve">, </w:t>
      </w:r>
      <w:r w:rsidR="00C76895" w:rsidRPr="00C76895">
        <w:rPr>
          <w:lang w:val="id-ID"/>
        </w:rPr>
        <w:t>đăng ký giao dịch</w:t>
      </w:r>
      <w:r w:rsidR="00C233E6" w:rsidRPr="00C233E6">
        <w:rPr>
          <w:lang w:val="nl-NL"/>
        </w:rPr>
        <w:t xml:space="preserve"> và</w:t>
      </w:r>
      <w:r w:rsidR="00C76895" w:rsidRPr="003445EE">
        <w:rPr>
          <w:lang w:val="nl-NL"/>
        </w:rPr>
        <w:t xml:space="preserve"> là </w:t>
      </w:r>
      <w:r w:rsidR="00C233E6">
        <w:rPr>
          <w:lang w:val="nl-NL"/>
        </w:rPr>
        <w:t xml:space="preserve">tổ chức </w:t>
      </w:r>
      <w:r w:rsidR="00C76895" w:rsidRPr="003445EE">
        <w:rPr>
          <w:lang w:val="nl-NL"/>
        </w:rPr>
        <w:t>duy nhất cấp mã</w:t>
      </w:r>
      <w:r w:rsidR="00C233E6">
        <w:rPr>
          <w:lang w:val="nl-NL"/>
        </w:rPr>
        <w:t xml:space="preserve"> số định danh quốc tế</w:t>
      </w:r>
      <w:r w:rsidR="00C76895" w:rsidRPr="003445EE">
        <w:rPr>
          <w:lang w:val="nl-NL"/>
        </w:rPr>
        <w:t xml:space="preserve"> ISIN cho các chứng khoán tại Việt Nam.</w:t>
      </w:r>
    </w:p>
    <w:p w:rsidR="000D245E" w:rsidRPr="000E6671" w:rsidRDefault="00121C47" w:rsidP="00181503">
      <w:pPr>
        <w:keepNext/>
        <w:keepLines/>
        <w:spacing w:before="120" w:after="100" w:afterAutospacing="1"/>
        <w:jc w:val="both"/>
        <w:rPr>
          <w:b/>
          <w:bCs/>
          <w:lang w:val="nl-NL"/>
        </w:rPr>
      </w:pPr>
      <w:r>
        <w:rPr>
          <w:b/>
          <w:lang w:val="nl-NL"/>
        </w:rPr>
        <w:t xml:space="preserve">          </w:t>
      </w:r>
      <w:r w:rsidR="00A7309E">
        <w:rPr>
          <w:b/>
          <w:lang w:val="nl-NL"/>
        </w:rPr>
        <w:t xml:space="preserve">Điều </w:t>
      </w:r>
      <w:r w:rsidR="006E7BDD" w:rsidRPr="006E7BDD">
        <w:rPr>
          <w:b/>
          <w:lang w:val="nl-NL"/>
        </w:rPr>
        <w:t>4</w:t>
      </w:r>
      <w:r w:rsidR="000D245E" w:rsidRPr="000E6671">
        <w:rPr>
          <w:b/>
          <w:bCs/>
          <w:lang w:val="nl-NL"/>
        </w:rPr>
        <w:t>. Tạm ngừng giao dịch chứng khoán</w:t>
      </w:r>
    </w:p>
    <w:p w:rsidR="000D245E" w:rsidRPr="000E6671" w:rsidRDefault="00121C47" w:rsidP="00181503">
      <w:pPr>
        <w:tabs>
          <w:tab w:val="center" w:pos="4441"/>
          <w:tab w:val="left" w:pos="7660"/>
        </w:tabs>
        <w:spacing w:before="120" w:after="100" w:afterAutospacing="1"/>
        <w:ind w:firstLine="561"/>
        <w:jc w:val="both"/>
        <w:rPr>
          <w:lang w:val="nl-NL"/>
        </w:rPr>
      </w:pPr>
      <w:r>
        <w:rPr>
          <w:lang w:val="nl-NL"/>
        </w:rPr>
        <w:t xml:space="preserve">   </w:t>
      </w:r>
      <w:r w:rsidR="00BA526D">
        <w:rPr>
          <w:lang w:val="nl-NL"/>
        </w:rPr>
        <w:t xml:space="preserve"> </w:t>
      </w:r>
      <w:r w:rsidR="000D245E" w:rsidRPr="000E6671">
        <w:rPr>
          <w:lang w:val="nl-NL"/>
        </w:rPr>
        <w:t>1. SGDCK tạm ngừng hoạt động giao dịch chứng khoán</w:t>
      </w:r>
      <w:r w:rsidR="00D165F8">
        <w:rPr>
          <w:lang w:val="nl-NL"/>
        </w:rPr>
        <w:t xml:space="preserve"> trên toàn hệ thống</w:t>
      </w:r>
      <w:r w:rsidR="000D245E" w:rsidRPr="000E6671">
        <w:rPr>
          <w:lang w:val="nl-NL"/>
        </w:rPr>
        <w:t xml:space="preserve"> trong trường hợp:</w:t>
      </w:r>
    </w:p>
    <w:p w:rsidR="000D245E" w:rsidRPr="000E6671" w:rsidRDefault="000D245E" w:rsidP="00181503">
      <w:pPr>
        <w:tabs>
          <w:tab w:val="center" w:pos="4441"/>
          <w:tab w:val="left" w:pos="7660"/>
        </w:tabs>
        <w:spacing w:before="120" w:after="100" w:afterAutospacing="1"/>
        <w:ind w:firstLine="561"/>
        <w:jc w:val="both"/>
        <w:rPr>
          <w:lang w:val="nl-NL"/>
        </w:rPr>
      </w:pPr>
      <w:r w:rsidRPr="000E6671">
        <w:rPr>
          <w:lang w:val="nl-NL"/>
        </w:rPr>
        <w:tab/>
      </w:r>
      <w:r w:rsidR="00121C47">
        <w:rPr>
          <w:lang w:val="nl-NL"/>
        </w:rPr>
        <w:t xml:space="preserve">   </w:t>
      </w:r>
      <w:r w:rsidR="003F4974">
        <w:rPr>
          <w:lang w:val="nl-NL"/>
        </w:rPr>
        <w:t xml:space="preserve"> </w:t>
      </w:r>
      <w:r w:rsidR="0011584A">
        <w:rPr>
          <w:lang w:val="nl-NL"/>
        </w:rPr>
        <w:t>a)</w:t>
      </w:r>
      <w:r w:rsidRPr="000E6671">
        <w:rPr>
          <w:lang w:val="nl-NL"/>
        </w:rPr>
        <w:t xml:space="preserve"> Hệ thống giao dịch hoặc hệ thống chuyển lệnh của SGDCK gặp sự cố; </w:t>
      </w:r>
    </w:p>
    <w:p w:rsidR="000D245E" w:rsidRPr="000E6671" w:rsidRDefault="000D245E" w:rsidP="00181503">
      <w:pPr>
        <w:tabs>
          <w:tab w:val="center" w:pos="4441"/>
          <w:tab w:val="left" w:pos="7660"/>
        </w:tabs>
        <w:spacing w:before="120" w:after="100" w:afterAutospacing="1"/>
        <w:ind w:firstLine="561"/>
        <w:jc w:val="both"/>
        <w:rPr>
          <w:lang w:val="nl-NL"/>
        </w:rPr>
      </w:pPr>
      <w:r w:rsidRPr="000E6671">
        <w:rPr>
          <w:lang w:val="nl-NL"/>
        </w:rPr>
        <w:tab/>
      </w:r>
      <w:r w:rsidR="00121C47">
        <w:rPr>
          <w:lang w:val="nl-NL"/>
        </w:rPr>
        <w:t xml:space="preserve">   </w:t>
      </w:r>
      <w:r w:rsidR="003F4974">
        <w:rPr>
          <w:lang w:val="nl-NL"/>
        </w:rPr>
        <w:t xml:space="preserve"> </w:t>
      </w:r>
      <w:r w:rsidR="0011584A">
        <w:rPr>
          <w:lang w:val="nl-NL"/>
        </w:rPr>
        <w:t>b)</w:t>
      </w:r>
      <w:r w:rsidRPr="000E6671">
        <w:rPr>
          <w:lang w:val="nl-NL"/>
        </w:rPr>
        <w:t xml:space="preserve"> Khi xảy ra các sự kiện </w:t>
      </w:r>
      <w:r w:rsidR="006A59B6">
        <w:rPr>
          <w:lang w:val="nl-NL"/>
        </w:rPr>
        <w:t xml:space="preserve">bất khả kháng </w:t>
      </w:r>
      <w:r w:rsidRPr="000E6671">
        <w:rPr>
          <w:lang w:val="nl-NL"/>
        </w:rPr>
        <w:t>làm ảnh hưởng đến hoạt động giao dịch của thị trường như thiên tai, h</w:t>
      </w:r>
      <w:r w:rsidR="000C5E10">
        <w:rPr>
          <w:lang w:val="nl-NL"/>
        </w:rPr>
        <w:t>ỏa hoạn</w:t>
      </w:r>
      <w:r w:rsidRPr="000E6671">
        <w:rPr>
          <w:lang w:val="nl-NL"/>
        </w:rPr>
        <w:t>;</w:t>
      </w:r>
    </w:p>
    <w:p w:rsidR="000D245E" w:rsidRPr="000E6671" w:rsidRDefault="00121C47" w:rsidP="00181503">
      <w:pPr>
        <w:tabs>
          <w:tab w:val="center" w:pos="4441"/>
          <w:tab w:val="left" w:pos="7660"/>
        </w:tabs>
        <w:spacing w:before="120" w:after="100" w:afterAutospacing="1"/>
        <w:ind w:firstLine="561"/>
        <w:jc w:val="both"/>
        <w:rPr>
          <w:lang w:val="nl-NL"/>
        </w:rPr>
      </w:pPr>
      <w:r>
        <w:rPr>
          <w:lang w:val="nl-NL"/>
        </w:rPr>
        <w:lastRenderedPageBreak/>
        <w:t xml:space="preserve">   </w:t>
      </w:r>
      <w:r w:rsidR="003F4974">
        <w:rPr>
          <w:lang w:val="nl-NL"/>
        </w:rPr>
        <w:t xml:space="preserve"> </w:t>
      </w:r>
      <w:r w:rsidR="0011584A">
        <w:rPr>
          <w:lang w:val="nl-NL"/>
        </w:rPr>
        <w:t>c)</w:t>
      </w:r>
      <w:r w:rsidR="000D245E" w:rsidRPr="000E6671">
        <w:rPr>
          <w:lang w:val="nl-NL"/>
        </w:rPr>
        <w:t xml:space="preserve"> </w:t>
      </w:r>
      <w:r w:rsidR="00C233E6">
        <w:rPr>
          <w:lang w:val="nl-NL"/>
        </w:rPr>
        <w:t xml:space="preserve">Theo yêu càu của </w:t>
      </w:r>
      <w:r w:rsidR="000D245E" w:rsidRPr="000E6671">
        <w:rPr>
          <w:lang w:val="nl-NL"/>
        </w:rPr>
        <w:t>UBCKNN để ổn định thị trường;</w:t>
      </w:r>
    </w:p>
    <w:p w:rsidR="000D245E" w:rsidRPr="000E6671" w:rsidRDefault="000D245E" w:rsidP="00181503">
      <w:pPr>
        <w:tabs>
          <w:tab w:val="center" w:pos="4441"/>
          <w:tab w:val="left" w:pos="7660"/>
        </w:tabs>
        <w:spacing w:before="120" w:after="100" w:afterAutospacing="1"/>
        <w:ind w:firstLine="561"/>
        <w:jc w:val="both"/>
        <w:rPr>
          <w:lang w:val="nl-NL"/>
        </w:rPr>
      </w:pPr>
      <w:r w:rsidRPr="000E6671">
        <w:rPr>
          <w:lang w:val="nl-NL"/>
        </w:rPr>
        <w:tab/>
      </w:r>
      <w:r w:rsidR="00121C47">
        <w:rPr>
          <w:lang w:val="nl-NL"/>
        </w:rPr>
        <w:t xml:space="preserve">   </w:t>
      </w:r>
      <w:r w:rsidR="003F4974">
        <w:rPr>
          <w:lang w:val="nl-NL"/>
        </w:rPr>
        <w:t xml:space="preserve"> </w:t>
      </w:r>
      <w:r w:rsidR="0011584A">
        <w:rPr>
          <w:lang w:val="nl-NL"/>
        </w:rPr>
        <w:t>d)</w:t>
      </w:r>
      <w:r w:rsidRPr="000E6671">
        <w:rPr>
          <w:lang w:val="nl-NL"/>
        </w:rPr>
        <w:t xml:space="preserve"> Các trường hợp SGDCK thấy cần thiết để bảo vệ lợi ích của nhà đầu tư sau khi được UBCKNN chấp thuận.</w:t>
      </w:r>
    </w:p>
    <w:p w:rsidR="004C154E" w:rsidRDefault="00121C47" w:rsidP="00181503">
      <w:pPr>
        <w:tabs>
          <w:tab w:val="center" w:pos="4441"/>
          <w:tab w:val="left" w:pos="7660"/>
        </w:tabs>
        <w:spacing w:before="120" w:after="100" w:afterAutospacing="1"/>
        <w:ind w:firstLine="561"/>
        <w:jc w:val="both"/>
        <w:rPr>
          <w:lang w:val="nl-NL"/>
        </w:rPr>
      </w:pPr>
      <w:r>
        <w:rPr>
          <w:lang w:val="nl-NL"/>
        </w:rPr>
        <w:t xml:space="preserve">   </w:t>
      </w:r>
      <w:r w:rsidR="00CE483F">
        <w:rPr>
          <w:lang w:val="nl-NL"/>
        </w:rPr>
        <w:t xml:space="preserve"> </w:t>
      </w:r>
      <w:r w:rsidR="000D245E" w:rsidRPr="000E6671">
        <w:rPr>
          <w:lang w:val="nl-NL"/>
        </w:rPr>
        <w:t>2.</w:t>
      </w:r>
      <w:r w:rsidR="004C154E">
        <w:rPr>
          <w:lang w:val="nl-NL"/>
        </w:rPr>
        <w:t xml:space="preserve"> Việc tạm ngừng giao dịch từng </w:t>
      </w:r>
      <w:r w:rsidR="006A59B6">
        <w:rPr>
          <w:lang w:val="nl-NL"/>
        </w:rPr>
        <w:t>loại chứng khoán cụ thể</w:t>
      </w:r>
      <w:r w:rsidR="008C11D7">
        <w:rPr>
          <w:lang w:val="nl-NL"/>
        </w:rPr>
        <w:t xml:space="preserve"> thực hiện theo Q</w:t>
      </w:r>
      <w:r w:rsidR="004C154E">
        <w:rPr>
          <w:lang w:val="nl-NL"/>
        </w:rPr>
        <w:t xml:space="preserve">uy chế </w:t>
      </w:r>
      <w:r w:rsidR="009152B7">
        <w:rPr>
          <w:lang w:val="nl-NL"/>
        </w:rPr>
        <w:t xml:space="preserve"> hướng dẫn </w:t>
      </w:r>
      <w:r w:rsidR="004C154E">
        <w:rPr>
          <w:lang w:val="nl-NL"/>
        </w:rPr>
        <w:t>giao dịch của SGDCK.</w:t>
      </w:r>
      <w:r w:rsidR="000D245E" w:rsidRPr="000E6671">
        <w:rPr>
          <w:lang w:val="nl-NL"/>
        </w:rPr>
        <w:t xml:space="preserve"> </w:t>
      </w:r>
    </w:p>
    <w:p w:rsidR="000D245E" w:rsidRPr="000E6671" w:rsidRDefault="00121C47" w:rsidP="00181503">
      <w:pPr>
        <w:tabs>
          <w:tab w:val="center" w:pos="4441"/>
          <w:tab w:val="left" w:pos="7660"/>
        </w:tabs>
        <w:spacing w:before="120" w:after="100" w:afterAutospacing="1"/>
        <w:ind w:firstLine="561"/>
        <w:jc w:val="both"/>
        <w:rPr>
          <w:lang w:val="nl-NL"/>
        </w:rPr>
      </w:pPr>
      <w:r>
        <w:rPr>
          <w:lang w:val="nl-NL"/>
        </w:rPr>
        <w:t xml:space="preserve">   </w:t>
      </w:r>
      <w:r w:rsidR="00CE483F">
        <w:rPr>
          <w:lang w:val="nl-NL"/>
        </w:rPr>
        <w:t xml:space="preserve"> </w:t>
      </w:r>
      <w:r w:rsidR="004C154E">
        <w:rPr>
          <w:lang w:val="nl-NL"/>
        </w:rPr>
        <w:t xml:space="preserve">3. </w:t>
      </w:r>
      <w:r w:rsidR="000D245E" w:rsidRPr="000E6671">
        <w:rPr>
          <w:lang w:val="nl-NL"/>
        </w:rPr>
        <w:t xml:space="preserve">SGDCK phải báo cáo UBCKNN </w:t>
      </w:r>
      <w:r w:rsidR="00E44869">
        <w:rPr>
          <w:lang w:val="nl-NL"/>
        </w:rPr>
        <w:t>ngay</w:t>
      </w:r>
      <w:r w:rsidR="00425528">
        <w:rPr>
          <w:lang w:val="nl-NL"/>
        </w:rPr>
        <w:t xml:space="preserve"> khi </w:t>
      </w:r>
      <w:r w:rsidR="00342D6F">
        <w:rPr>
          <w:lang w:val="nl-NL"/>
        </w:rPr>
        <w:t>ban hành</w:t>
      </w:r>
      <w:r w:rsidR="000D245E" w:rsidRPr="000E6671">
        <w:rPr>
          <w:lang w:val="nl-NL"/>
        </w:rPr>
        <w:t xml:space="preserve"> quyết định tạm ngừng giao dịch qu</w:t>
      </w:r>
      <w:r w:rsidR="00E40B06">
        <w:rPr>
          <w:lang w:val="nl-NL"/>
        </w:rPr>
        <w:t xml:space="preserve">y định tại điểm </w:t>
      </w:r>
      <w:r w:rsidR="00F2054A">
        <w:rPr>
          <w:lang w:val="nl-NL"/>
        </w:rPr>
        <w:t>a</w:t>
      </w:r>
      <w:r w:rsidR="00E40B06">
        <w:rPr>
          <w:lang w:val="nl-NL"/>
        </w:rPr>
        <w:t xml:space="preserve">, </w:t>
      </w:r>
      <w:r w:rsidR="00F2054A">
        <w:rPr>
          <w:lang w:val="nl-NL"/>
        </w:rPr>
        <w:t>b</w:t>
      </w:r>
      <w:r w:rsidR="00E40B06">
        <w:rPr>
          <w:lang w:val="nl-NL"/>
        </w:rPr>
        <w:t xml:space="preserve"> Khoản </w:t>
      </w:r>
      <w:r w:rsidR="00384CF0">
        <w:rPr>
          <w:lang w:val="nl-NL"/>
        </w:rPr>
        <w:t>1</w:t>
      </w:r>
      <w:r w:rsidR="00E40B06">
        <w:rPr>
          <w:lang w:val="nl-NL"/>
        </w:rPr>
        <w:t xml:space="preserve"> và Khoản </w:t>
      </w:r>
      <w:r w:rsidR="00FA141A">
        <w:rPr>
          <w:lang w:val="nl-NL"/>
        </w:rPr>
        <w:t>2</w:t>
      </w:r>
      <w:r w:rsidR="00E40B06">
        <w:rPr>
          <w:lang w:val="nl-NL"/>
        </w:rPr>
        <w:t xml:space="preserve"> Điều </w:t>
      </w:r>
      <w:r w:rsidR="000D245E" w:rsidRPr="000E6671">
        <w:rPr>
          <w:lang w:val="nl-NL"/>
        </w:rPr>
        <w:t>này.</w:t>
      </w:r>
    </w:p>
    <w:p w:rsidR="00511F8E" w:rsidRDefault="00121C47" w:rsidP="00181503">
      <w:pPr>
        <w:tabs>
          <w:tab w:val="center" w:pos="4441"/>
          <w:tab w:val="left" w:pos="7660"/>
        </w:tabs>
        <w:spacing w:before="120" w:after="100" w:afterAutospacing="1"/>
        <w:jc w:val="both"/>
        <w:rPr>
          <w:b/>
          <w:bCs/>
          <w:lang w:val="nl-NL"/>
        </w:rPr>
      </w:pPr>
      <w:r>
        <w:rPr>
          <w:b/>
          <w:bCs/>
          <w:lang w:val="nl-NL"/>
        </w:rPr>
        <w:t xml:space="preserve">           </w:t>
      </w:r>
      <w:r w:rsidR="00A7309E">
        <w:rPr>
          <w:b/>
          <w:bCs/>
          <w:lang w:val="nl-NL"/>
        </w:rPr>
        <w:t xml:space="preserve">Điều </w:t>
      </w:r>
      <w:r w:rsidR="00CD20AC">
        <w:rPr>
          <w:b/>
          <w:bCs/>
          <w:lang w:val="nl-NL"/>
        </w:rPr>
        <w:t>5</w:t>
      </w:r>
      <w:r w:rsidR="000D245E" w:rsidRPr="000E6671">
        <w:rPr>
          <w:b/>
          <w:bCs/>
          <w:lang w:val="nl-NL"/>
        </w:rPr>
        <w:t>.</w:t>
      </w:r>
      <w:r w:rsidR="00906A40">
        <w:rPr>
          <w:b/>
          <w:bCs/>
          <w:lang w:val="nl-NL"/>
        </w:rPr>
        <w:t xml:space="preserve"> Biên độ d</w:t>
      </w:r>
      <w:r w:rsidR="00511F8E">
        <w:rPr>
          <w:b/>
          <w:bCs/>
          <w:lang w:val="nl-NL"/>
        </w:rPr>
        <w:t>ao động giá</w:t>
      </w:r>
    </w:p>
    <w:p w:rsidR="00066182" w:rsidRDefault="00511F8E" w:rsidP="00181503">
      <w:pPr>
        <w:tabs>
          <w:tab w:val="center" w:pos="4441"/>
          <w:tab w:val="left" w:pos="7660"/>
        </w:tabs>
        <w:spacing w:before="120" w:after="100" w:afterAutospacing="1"/>
        <w:jc w:val="both"/>
        <w:rPr>
          <w:bCs/>
          <w:lang w:val="nl-NL"/>
        </w:rPr>
      </w:pPr>
      <w:r>
        <w:rPr>
          <w:b/>
          <w:bCs/>
          <w:lang w:val="nl-NL"/>
        </w:rPr>
        <w:t xml:space="preserve">           </w:t>
      </w:r>
      <w:r w:rsidR="00D81E03">
        <w:rPr>
          <w:b/>
          <w:bCs/>
          <w:lang w:val="nl-NL"/>
        </w:rPr>
        <w:t xml:space="preserve"> </w:t>
      </w:r>
      <w:r w:rsidRPr="00511F8E">
        <w:rPr>
          <w:bCs/>
          <w:lang w:val="nl-NL"/>
        </w:rPr>
        <w:t>1.</w:t>
      </w:r>
      <w:r>
        <w:rPr>
          <w:bCs/>
          <w:lang w:val="nl-NL"/>
        </w:rPr>
        <w:t xml:space="preserve"> </w:t>
      </w:r>
      <w:r w:rsidRPr="00511F8E">
        <w:rPr>
          <w:bCs/>
          <w:lang w:val="nl-NL"/>
        </w:rPr>
        <w:t>SGDCK</w:t>
      </w:r>
      <w:r w:rsidR="00906A40">
        <w:rPr>
          <w:bCs/>
          <w:lang w:val="nl-NL"/>
        </w:rPr>
        <w:t xml:space="preserve"> quy định biên độ d</w:t>
      </w:r>
      <w:r>
        <w:rPr>
          <w:bCs/>
          <w:lang w:val="nl-NL"/>
        </w:rPr>
        <w:t>ao động giá sau khi được UBCKNN chấp thuận</w:t>
      </w:r>
      <w:r w:rsidR="00C233E6">
        <w:rPr>
          <w:bCs/>
          <w:lang w:val="nl-NL"/>
        </w:rPr>
        <w:t>.</w:t>
      </w:r>
    </w:p>
    <w:p w:rsidR="00511F8E" w:rsidRPr="00511F8E" w:rsidRDefault="00066182" w:rsidP="00181503">
      <w:pPr>
        <w:tabs>
          <w:tab w:val="center" w:pos="4441"/>
          <w:tab w:val="left" w:pos="7660"/>
        </w:tabs>
        <w:spacing w:before="120" w:after="100" w:afterAutospacing="1"/>
        <w:jc w:val="both"/>
        <w:rPr>
          <w:bCs/>
          <w:lang w:val="nl-NL"/>
        </w:rPr>
      </w:pPr>
      <w:r>
        <w:rPr>
          <w:bCs/>
          <w:lang w:val="nl-NL"/>
        </w:rPr>
        <w:t xml:space="preserve">          </w:t>
      </w:r>
      <w:r w:rsidR="00D81E03">
        <w:rPr>
          <w:bCs/>
          <w:lang w:val="nl-NL"/>
        </w:rPr>
        <w:t xml:space="preserve">  </w:t>
      </w:r>
      <w:r>
        <w:rPr>
          <w:bCs/>
          <w:lang w:val="nl-NL"/>
        </w:rPr>
        <w:t xml:space="preserve">2. Trong trường hợp cần thiết để đảm bảo bình ổn thị trường, UBCKNN </w:t>
      </w:r>
      <w:r w:rsidR="00906A40">
        <w:rPr>
          <w:bCs/>
          <w:lang w:val="nl-NL"/>
        </w:rPr>
        <w:t>quyết định điều chỉnh biên độ d</w:t>
      </w:r>
      <w:r>
        <w:rPr>
          <w:bCs/>
          <w:lang w:val="nl-NL"/>
        </w:rPr>
        <w:t>ao động giá.</w:t>
      </w:r>
      <w:r w:rsidR="00511F8E" w:rsidRPr="00511F8E">
        <w:rPr>
          <w:bCs/>
          <w:lang w:val="nl-NL"/>
        </w:rPr>
        <w:tab/>
      </w:r>
      <w:r w:rsidR="000D245E" w:rsidRPr="00511F8E">
        <w:rPr>
          <w:bCs/>
          <w:lang w:val="nl-NL"/>
        </w:rPr>
        <w:t xml:space="preserve"> </w:t>
      </w:r>
    </w:p>
    <w:p w:rsidR="00FD175E" w:rsidRDefault="00511F8E" w:rsidP="00181503">
      <w:pPr>
        <w:tabs>
          <w:tab w:val="center" w:pos="4441"/>
          <w:tab w:val="left" w:pos="7660"/>
        </w:tabs>
        <w:spacing w:before="120" w:after="100" w:afterAutospacing="1"/>
        <w:jc w:val="both"/>
        <w:rPr>
          <w:lang w:val="nl-NL"/>
        </w:rPr>
      </w:pPr>
      <w:r>
        <w:rPr>
          <w:b/>
          <w:bCs/>
          <w:lang w:val="nl-NL"/>
        </w:rPr>
        <w:tab/>
        <w:t xml:space="preserve">           </w:t>
      </w:r>
      <w:r w:rsidRPr="008D5679">
        <w:rPr>
          <w:b/>
          <w:bCs/>
          <w:lang w:val="nl-NL"/>
        </w:rPr>
        <w:t xml:space="preserve">Điều 6. </w:t>
      </w:r>
      <w:r w:rsidR="00FA2B92" w:rsidRPr="003445EE">
        <w:rPr>
          <w:b/>
          <w:lang w:val="nl-NL"/>
        </w:rPr>
        <w:t xml:space="preserve">Sửa lỗi sau giao dịch, xử lý lỗi giao dịch, loại bỏ không thanh toán giao dịch, xác </w:t>
      </w:r>
      <w:r w:rsidR="00602568" w:rsidRPr="003445EE">
        <w:rPr>
          <w:b/>
          <w:lang w:val="nl-NL"/>
        </w:rPr>
        <w:t>nhận</w:t>
      </w:r>
      <w:r w:rsidR="00FA2B92" w:rsidRPr="003445EE">
        <w:rPr>
          <w:b/>
          <w:lang w:val="nl-NL"/>
        </w:rPr>
        <w:t xml:space="preserve"> giao dịch và hủy bỏ giao dịch</w:t>
      </w:r>
      <w:r w:rsidR="00121C47" w:rsidRPr="008D5679">
        <w:rPr>
          <w:lang w:val="nl-NL"/>
        </w:rPr>
        <w:t xml:space="preserve">  </w:t>
      </w:r>
      <w:r w:rsidR="000D245E" w:rsidRPr="008D5679">
        <w:rPr>
          <w:lang w:val="nl-NL"/>
        </w:rPr>
        <w:t xml:space="preserve"> </w:t>
      </w:r>
    </w:p>
    <w:p w:rsidR="00FA2B92" w:rsidRPr="003445EE" w:rsidRDefault="00FD175E" w:rsidP="00181503">
      <w:pPr>
        <w:tabs>
          <w:tab w:val="center" w:pos="4441"/>
          <w:tab w:val="left" w:pos="7660"/>
        </w:tabs>
        <w:spacing w:before="120" w:after="100" w:afterAutospacing="1"/>
        <w:jc w:val="both"/>
        <w:rPr>
          <w:lang w:val="nl-NL"/>
        </w:rPr>
      </w:pPr>
      <w:r>
        <w:rPr>
          <w:lang w:val="nl-NL"/>
        </w:rPr>
        <w:t xml:space="preserve">            </w:t>
      </w:r>
      <w:r w:rsidR="00FA2B92" w:rsidRPr="003445EE">
        <w:rPr>
          <w:lang w:val="nl-NL"/>
        </w:rPr>
        <w:t xml:space="preserve">TTLKCK chịu trách nhiệm </w:t>
      </w:r>
      <w:r w:rsidR="00C233E6">
        <w:rPr>
          <w:lang w:val="nl-NL"/>
        </w:rPr>
        <w:t>xây dựng</w:t>
      </w:r>
      <w:r w:rsidR="00FA2B92" w:rsidRPr="003445EE">
        <w:rPr>
          <w:lang w:val="nl-NL"/>
        </w:rPr>
        <w:t xml:space="preserve"> quy định, trình tự, thủ tục </w:t>
      </w:r>
      <w:r w:rsidR="00C233E6">
        <w:rPr>
          <w:lang w:val="nl-NL"/>
        </w:rPr>
        <w:t>s</w:t>
      </w:r>
      <w:r w:rsidR="00C233E6" w:rsidRPr="003445EE">
        <w:rPr>
          <w:lang w:val="nl-NL"/>
        </w:rPr>
        <w:t xml:space="preserve">ửa </w:t>
      </w:r>
      <w:r w:rsidR="00FA2B92" w:rsidRPr="003445EE">
        <w:rPr>
          <w:lang w:val="nl-NL"/>
        </w:rPr>
        <w:t xml:space="preserve">lỗi sau giao dịch, xử lý lỗi giao dịch, loại bỏ không thanh toán giao dịch, xác </w:t>
      </w:r>
      <w:r w:rsidR="00602568" w:rsidRPr="003445EE">
        <w:rPr>
          <w:lang w:val="nl-NL"/>
        </w:rPr>
        <w:t>nhận</w:t>
      </w:r>
      <w:r w:rsidR="00FA2B92" w:rsidRPr="003445EE">
        <w:rPr>
          <w:lang w:val="nl-NL"/>
        </w:rPr>
        <w:t xml:space="preserve"> giao dịch và hủy bỏ giao dịch </w:t>
      </w:r>
      <w:r w:rsidR="00C233E6">
        <w:rPr>
          <w:lang w:val="nl-NL"/>
        </w:rPr>
        <w:t xml:space="preserve">theo quy định của pháp luật và ban hành </w:t>
      </w:r>
      <w:r w:rsidR="00C172D0" w:rsidRPr="003445EE">
        <w:rPr>
          <w:lang w:val="nl-NL"/>
        </w:rPr>
        <w:t>sau khi được UBCKNN chấp thuận</w:t>
      </w:r>
      <w:r w:rsidR="00FA2B92" w:rsidRPr="003445EE">
        <w:rPr>
          <w:lang w:val="nl-NL"/>
        </w:rPr>
        <w:t>.</w:t>
      </w:r>
    </w:p>
    <w:p w:rsidR="000D245E" w:rsidRPr="000E6671" w:rsidRDefault="00121C47" w:rsidP="00181503">
      <w:pPr>
        <w:tabs>
          <w:tab w:val="center" w:pos="4441"/>
          <w:tab w:val="left" w:pos="7660"/>
        </w:tabs>
        <w:spacing w:before="120" w:after="100" w:afterAutospacing="1"/>
        <w:jc w:val="both"/>
        <w:rPr>
          <w:b/>
          <w:bCs/>
          <w:lang w:val="nl-NL"/>
        </w:rPr>
      </w:pPr>
      <w:r>
        <w:rPr>
          <w:lang w:val="nl-NL"/>
        </w:rPr>
        <w:t xml:space="preserve">   </w:t>
      </w:r>
      <w:r>
        <w:rPr>
          <w:b/>
          <w:bCs/>
          <w:lang w:val="nl-NL"/>
        </w:rPr>
        <w:t xml:space="preserve">          </w:t>
      </w:r>
      <w:r w:rsidR="00A7309E">
        <w:rPr>
          <w:b/>
          <w:bCs/>
          <w:lang w:val="nl-NL"/>
        </w:rPr>
        <w:t xml:space="preserve">Điều </w:t>
      </w:r>
      <w:r w:rsidR="00066182">
        <w:rPr>
          <w:b/>
          <w:bCs/>
          <w:lang w:val="nl-NL"/>
        </w:rPr>
        <w:t>7</w:t>
      </w:r>
      <w:r w:rsidR="000D245E" w:rsidRPr="000E6671">
        <w:rPr>
          <w:b/>
          <w:bCs/>
          <w:lang w:val="nl-NL"/>
        </w:rPr>
        <w:t xml:space="preserve">. </w:t>
      </w:r>
      <w:r w:rsidR="00E35DAB">
        <w:rPr>
          <w:b/>
          <w:bCs/>
          <w:lang w:val="nl-NL"/>
        </w:rPr>
        <w:t>Quy định mở tài khoản giao dịch cho nhà đầu tư</w:t>
      </w:r>
    </w:p>
    <w:p w:rsidR="00B14811" w:rsidRDefault="00152846" w:rsidP="00181503">
      <w:pPr>
        <w:tabs>
          <w:tab w:val="center" w:pos="993"/>
          <w:tab w:val="left" w:pos="7660"/>
        </w:tabs>
        <w:spacing w:before="120" w:after="100" w:afterAutospacing="1"/>
        <w:jc w:val="both"/>
        <w:rPr>
          <w:lang w:val="nl-NL"/>
        </w:rPr>
      </w:pPr>
      <w:r>
        <w:rPr>
          <w:lang w:val="nl-NL"/>
        </w:rPr>
        <w:t xml:space="preserve">           </w:t>
      </w:r>
      <w:r w:rsidR="00B13FAA">
        <w:rPr>
          <w:lang w:val="nl-NL"/>
        </w:rPr>
        <w:t xml:space="preserve"> </w:t>
      </w:r>
      <w:r>
        <w:rPr>
          <w:lang w:val="nl-NL"/>
        </w:rPr>
        <w:t xml:space="preserve">1. </w:t>
      </w:r>
      <w:r w:rsidR="006A59B6">
        <w:rPr>
          <w:lang w:val="nl-NL"/>
        </w:rPr>
        <w:t>Nhà đầu tư phải mở tài khoản giao dịch chứng khoán tại công ty chứng khoán để thực hiện giao dịch chứng khoán trên SGDCK</w:t>
      </w:r>
      <w:r w:rsidR="00DA0573">
        <w:rPr>
          <w:lang w:val="nl-NL"/>
        </w:rPr>
        <w:t xml:space="preserve"> và</w:t>
      </w:r>
      <w:r w:rsidR="000D245E" w:rsidRPr="000E6671">
        <w:rPr>
          <w:lang w:val="nl-NL"/>
        </w:rPr>
        <w:t xml:space="preserve"> </w:t>
      </w:r>
      <w:r w:rsidR="00CD20AC">
        <w:rPr>
          <w:lang w:val="nl-NL"/>
        </w:rPr>
        <w:t>chịu trách nhiệm cung cấp đầy đủ</w:t>
      </w:r>
      <w:r w:rsidR="00260D6A">
        <w:rPr>
          <w:lang w:val="nl-NL"/>
        </w:rPr>
        <w:t xml:space="preserve">, </w:t>
      </w:r>
      <w:r w:rsidR="004C154E">
        <w:rPr>
          <w:lang w:val="nl-NL"/>
        </w:rPr>
        <w:t xml:space="preserve">chính xác </w:t>
      </w:r>
      <w:r w:rsidR="00CD20AC">
        <w:rPr>
          <w:lang w:val="nl-NL"/>
        </w:rPr>
        <w:t xml:space="preserve">các thông tin </w:t>
      </w:r>
      <w:r w:rsidR="00C233E6">
        <w:rPr>
          <w:lang w:val="nl-NL"/>
        </w:rPr>
        <w:t xml:space="preserve">nhận biết khách hàng </w:t>
      </w:r>
      <w:r w:rsidR="00CD20AC">
        <w:rPr>
          <w:lang w:val="nl-NL"/>
        </w:rPr>
        <w:t xml:space="preserve">khi </w:t>
      </w:r>
      <w:r w:rsidR="00D9389A">
        <w:rPr>
          <w:lang w:val="nl-NL"/>
        </w:rPr>
        <w:t xml:space="preserve"> mở tài khoản giao dịch</w:t>
      </w:r>
      <w:r w:rsidR="000D245E" w:rsidRPr="000E6671">
        <w:rPr>
          <w:lang w:val="nl-NL"/>
        </w:rPr>
        <w:t>.</w:t>
      </w:r>
    </w:p>
    <w:p w:rsidR="006A59B6" w:rsidRPr="00DB61BB" w:rsidRDefault="00152846" w:rsidP="00181503">
      <w:pPr>
        <w:tabs>
          <w:tab w:val="center" w:pos="993"/>
          <w:tab w:val="left" w:pos="7660"/>
        </w:tabs>
        <w:spacing w:before="120" w:after="100" w:afterAutospacing="1"/>
        <w:jc w:val="both"/>
        <w:rPr>
          <w:color w:val="000000"/>
          <w:lang w:val="nl-NL"/>
        </w:rPr>
      </w:pPr>
      <w:r>
        <w:rPr>
          <w:color w:val="000000"/>
          <w:lang w:val="nl-NL"/>
        </w:rPr>
        <w:t xml:space="preserve">           </w:t>
      </w:r>
      <w:r w:rsidR="00B13FAA">
        <w:rPr>
          <w:color w:val="000000"/>
          <w:lang w:val="nl-NL"/>
        </w:rPr>
        <w:t xml:space="preserve"> </w:t>
      </w:r>
      <w:r>
        <w:rPr>
          <w:color w:val="000000"/>
          <w:lang w:val="nl-NL"/>
        </w:rPr>
        <w:t xml:space="preserve">2. </w:t>
      </w:r>
      <w:r w:rsidR="00B14811" w:rsidRPr="00DB61BB">
        <w:rPr>
          <w:color w:val="000000"/>
          <w:lang w:val="nl-NL"/>
        </w:rPr>
        <w:t>Trường hợp nhà đầu tư mở tài khoản giao dịch chứng khoán tại các công ty chứng khoán khác nhau, trong hồ sơ mở tài khoản tại công ty chứng khoán thứ hai trở đi phải ghi rõ: số lượng tài khoản đã mở; mã số các tài khoản và tên công ty chứng khoán mà nhà đầu tư đã mở tài khoản trước đó</w:t>
      </w:r>
      <w:r w:rsidR="00EF630B">
        <w:rPr>
          <w:color w:val="000000"/>
          <w:lang w:val="nl-NL"/>
        </w:rPr>
        <w:t>, bao gồm</w:t>
      </w:r>
      <w:r w:rsidR="00EF630B" w:rsidRPr="00DB61BB">
        <w:rPr>
          <w:color w:val="000000"/>
          <w:lang w:val="nl-NL"/>
        </w:rPr>
        <w:t xml:space="preserve"> </w:t>
      </w:r>
      <w:r w:rsidR="00B14811" w:rsidRPr="00DB61BB">
        <w:rPr>
          <w:color w:val="000000"/>
          <w:lang w:val="nl-NL"/>
        </w:rPr>
        <w:t xml:space="preserve">các tài khoản </w:t>
      </w:r>
      <w:r w:rsidR="00EF630B">
        <w:rPr>
          <w:color w:val="000000"/>
          <w:lang w:val="nl-NL"/>
        </w:rPr>
        <w:t>đứng tên nhà đầu tư, các tài khoản đứng tên cá nhân, tổ chức khác mà nhà đầu tư được ủy quyền giao dịch</w:t>
      </w:r>
      <w:r w:rsidR="00D0119C" w:rsidRPr="00DB61BB">
        <w:rPr>
          <w:color w:val="000000"/>
          <w:lang w:val="nl-NL"/>
        </w:rPr>
        <w:t>.</w:t>
      </w:r>
      <w:r w:rsidR="000D245E" w:rsidRPr="00DB61BB">
        <w:rPr>
          <w:color w:val="000000"/>
          <w:lang w:val="nl-NL"/>
        </w:rPr>
        <w:t xml:space="preserve"> </w:t>
      </w:r>
    </w:p>
    <w:p w:rsidR="00EF630B" w:rsidRDefault="00EC03DF" w:rsidP="00181503">
      <w:pPr>
        <w:tabs>
          <w:tab w:val="center" w:pos="0"/>
          <w:tab w:val="left" w:pos="7660"/>
        </w:tabs>
        <w:spacing w:before="120" w:after="100" w:afterAutospacing="1"/>
        <w:jc w:val="both"/>
        <w:rPr>
          <w:lang w:val="nl-NL"/>
        </w:rPr>
      </w:pPr>
      <w:r>
        <w:rPr>
          <w:lang w:val="nl-NL"/>
        </w:rPr>
        <w:t xml:space="preserve">            </w:t>
      </w:r>
      <w:r w:rsidR="000D5572">
        <w:rPr>
          <w:lang w:val="nl-NL"/>
        </w:rPr>
        <w:t xml:space="preserve">3. </w:t>
      </w:r>
      <w:r w:rsidR="00EF630B">
        <w:rPr>
          <w:lang w:val="nl-NL"/>
        </w:rPr>
        <w:t>Ngoại trừ các trường hợp quy định tại Khoản 4 dưới đây, mỗi n</w:t>
      </w:r>
      <w:r w:rsidR="00EF630B" w:rsidRPr="000E6671">
        <w:rPr>
          <w:lang w:val="nl-NL"/>
        </w:rPr>
        <w:t>hà đầu tư chỉ được phép mở một tài khoản giao dịch</w:t>
      </w:r>
      <w:r w:rsidR="00EF630B">
        <w:rPr>
          <w:lang w:val="nl-NL"/>
        </w:rPr>
        <w:t xml:space="preserve"> tại mỗi công ty chứng khoán. </w:t>
      </w:r>
      <w:r w:rsidR="00C43FE6">
        <w:rPr>
          <w:lang w:val="nl-NL"/>
        </w:rPr>
        <w:t xml:space="preserve">Nhà đầu tư </w:t>
      </w:r>
      <w:r w:rsidR="00C43FE6" w:rsidRPr="000E6671">
        <w:rPr>
          <w:lang w:val="nl-NL"/>
        </w:rPr>
        <w:t>nước ngoài</w:t>
      </w:r>
      <w:r w:rsidR="00C43FE6">
        <w:rPr>
          <w:lang w:val="nl-NL"/>
        </w:rPr>
        <w:t xml:space="preserve"> chỉ được</w:t>
      </w:r>
      <w:r w:rsidR="00C43FE6" w:rsidRPr="000E6671">
        <w:rPr>
          <w:lang w:val="nl-NL"/>
        </w:rPr>
        <w:t xml:space="preserve"> mở tài khoản giao dịch sau khi </w:t>
      </w:r>
      <w:r w:rsidR="00C43FE6">
        <w:rPr>
          <w:lang w:val="nl-NL"/>
        </w:rPr>
        <w:t>đã được TTLKCK cấp</w:t>
      </w:r>
      <w:r w:rsidR="00C43FE6" w:rsidRPr="000E6671">
        <w:rPr>
          <w:lang w:val="nl-NL"/>
        </w:rPr>
        <w:t xml:space="preserve"> mã số giao dịch chứng khoán.</w:t>
      </w:r>
      <w:r w:rsidR="00C43FE6">
        <w:rPr>
          <w:lang w:val="nl-NL"/>
        </w:rPr>
        <w:t xml:space="preserve"> </w:t>
      </w:r>
    </w:p>
    <w:p w:rsidR="00EF630B" w:rsidRDefault="00EF630B" w:rsidP="00181503">
      <w:pPr>
        <w:tabs>
          <w:tab w:val="center" w:pos="0"/>
          <w:tab w:val="left" w:pos="7660"/>
        </w:tabs>
        <w:spacing w:before="120" w:after="100" w:afterAutospacing="1"/>
        <w:ind w:firstLine="709"/>
        <w:jc w:val="both"/>
        <w:rPr>
          <w:lang w:val="nl-NL"/>
        </w:rPr>
      </w:pPr>
      <w:r>
        <w:rPr>
          <w:lang w:val="nl-NL"/>
        </w:rPr>
        <w:lastRenderedPageBreak/>
        <w:t>4. Việc mở tài khoản giao dịch chứng khoán của công ty chứng khoán, công ty quản lý quỹ và doanh nghiệp bảo hiểm được thực hiện theo nguyên tắc sau:</w:t>
      </w:r>
    </w:p>
    <w:p w:rsidR="009423FE" w:rsidRDefault="006213B8" w:rsidP="00181503">
      <w:pPr>
        <w:tabs>
          <w:tab w:val="center" w:pos="4441"/>
          <w:tab w:val="left" w:pos="7660"/>
        </w:tabs>
        <w:spacing w:before="120" w:after="100" w:afterAutospacing="1"/>
        <w:ind w:firstLine="560"/>
        <w:jc w:val="both"/>
        <w:rPr>
          <w:lang w:val="nl-NL"/>
        </w:rPr>
      </w:pPr>
      <w:r>
        <w:rPr>
          <w:lang w:val="nl-NL"/>
        </w:rPr>
        <w:t xml:space="preserve">  </w:t>
      </w:r>
      <w:r w:rsidR="005370D3">
        <w:rPr>
          <w:lang w:val="nl-NL"/>
        </w:rPr>
        <w:t xml:space="preserve"> </w:t>
      </w:r>
      <w:r w:rsidR="00EF630B">
        <w:rPr>
          <w:lang w:val="nl-NL"/>
        </w:rPr>
        <w:t>a</w:t>
      </w:r>
      <w:r w:rsidR="00981686">
        <w:rPr>
          <w:lang w:val="nl-NL"/>
        </w:rPr>
        <w:t>)</w:t>
      </w:r>
      <w:r w:rsidR="00387F54">
        <w:rPr>
          <w:lang w:val="nl-NL"/>
        </w:rPr>
        <w:t xml:space="preserve"> </w:t>
      </w:r>
      <w:r w:rsidR="000D245E" w:rsidRPr="000E6671">
        <w:rPr>
          <w:lang w:val="nl-NL"/>
        </w:rPr>
        <w:t xml:space="preserve">Công ty quản lý quỹ </w:t>
      </w:r>
      <w:r w:rsidR="009423FE">
        <w:rPr>
          <w:lang w:val="nl-NL"/>
        </w:rPr>
        <w:t xml:space="preserve">được </w:t>
      </w:r>
      <w:r w:rsidR="000D245E" w:rsidRPr="000E6671">
        <w:rPr>
          <w:lang w:val="nl-NL"/>
        </w:rPr>
        <w:t xml:space="preserve">mở </w:t>
      </w:r>
      <w:r w:rsidR="009423FE">
        <w:rPr>
          <w:lang w:val="nl-NL"/>
        </w:rPr>
        <w:t xml:space="preserve">nhiều </w:t>
      </w:r>
      <w:r w:rsidR="000D245E" w:rsidRPr="000E6671">
        <w:rPr>
          <w:lang w:val="nl-NL"/>
        </w:rPr>
        <w:t xml:space="preserve">tài khoản giao dịch </w:t>
      </w:r>
      <w:r w:rsidR="009423FE">
        <w:rPr>
          <w:lang w:val="nl-NL"/>
        </w:rPr>
        <w:t xml:space="preserve">tại mỗi công ty chứng khoán theo nguyên tắc sau: </w:t>
      </w:r>
    </w:p>
    <w:p w:rsidR="009423FE" w:rsidRDefault="009423FE" w:rsidP="00181503">
      <w:pPr>
        <w:tabs>
          <w:tab w:val="center" w:pos="4441"/>
          <w:tab w:val="left" w:pos="7660"/>
        </w:tabs>
        <w:spacing w:before="120" w:after="100" w:afterAutospacing="1"/>
        <w:ind w:firstLine="560"/>
        <w:jc w:val="both"/>
        <w:rPr>
          <w:lang w:val="nl-NL"/>
        </w:rPr>
      </w:pPr>
      <w:r>
        <w:rPr>
          <w:lang w:val="nl-NL"/>
        </w:rPr>
        <w:t>- Công ty được mở một (01) tài khoản giao dịch</w:t>
      </w:r>
      <w:r w:rsidR="000D245E" w:rsidRPr="000E6671">
        <w:rPr>
          <w:lang w:val="nl-NL"/>
        </w:rPr>
        <w:t xml:space="preserve"> </w:t>
      </w:r>
      <w:r>
        <w:rPr>
          <w:lang w:val="nl-NL"/>
        </w:rPr>
        <w:t xml:space="preserve">đứng tên mình để phục vụ </w:t>
      </w:r>
      <w:r w:rsidR="00237EC4">
        <w:rPr>
          <w:lang w:val="nl-NL"/>
        </w:rPr>
        <w:t>hoạt động kinh doanh</w:t>
      </w:r>
      <w:r w:rsidR="00941985">
        <w:rPr>
          <w:lang w:val="nl-NL"/>
        </w:rPr>
        <w:t xml:space="preserve"> </w:t>
      </w:r>
      <w:r>
        <w:rPr>
          <w:lang w:val="nl-NL"/>
        </w:rPr>
        <w:t xml:space="preserve">chứng khoán </w:t>
      </w:r>
      <w:r w:rsidR="00941985">
        <w:rPr>
          <w:lang w:val="nl-NL"/>
        </w:rPr>
        <w:t>của</w:t>
      </w:r>
      <w:r w:rsidR="000D245E" w:rsidRPr="000E6671">
        <w:rPr>
          <w:lang w:val="nl-NL"/>
        </w:rPr>
        <w:t xml:space="preserve"> </w:t>
      </w:r>
      <w:r>
        <w:rPr>
          <w:lang w:val="nl-NL"/>
        </w:rPr>
        <w:t>chính mình;</w:t>
      </w:r>
      <w:r w:rsidR="000D245E" w:rsidRPr="000E6671">
        <w:rPr>
          <w:lang w:val="nl-NL"/>
        </w:rPr>
        <w:t xml:space="preserve"> </w:t>
      </w:r>
    </w:p>
    <w:p w:rsidR="009423FE" w:rsidRDefault="009423FE" w:rsidP="00181503">
      <w:pPr>
        <w:tabs>
          <w:tab w:val="center" w:pos="4441"/>
          <w:tab w:val="left" w:pos="7660"/>
        </w:tabs>
        <w:spacing w:before="120" w:after="100" w:afterAutospacing="1"/>
        <w:ind w:firstLine="560"/>
        <w:jc w:val="both"/>
        <w:rPr>
          <w:lang w:val="nl-NL"/>
        </w:rPr>
      </w:pPr>
      <w:r>
        <w:rPr>
          <w:lang w:val="nl-NL"/>
        </w:rPr>
        <w:t xml:space="preserve">- Công ty được mở các tài khoản giao dịch đứng tên các quỹ đầu tư, công ty đầu tư chứng khoán do mình quản lý, theo nguyên tắc cứ mỗi quỹ đầu tư, mỗi công ty đầu tư chứng khoán thì được mở một (01) </w:t>
      </w:r>
      <w:r w:rsidR="00EF630B">
        <w:rPr>
          <w:lang w:val="nl-NL"/>
        </w:rPr>
        <w:t xml:space="preserve">tài khoản giao dịch </w:t>
      </w:r>
      <w:r>
        <w:rPr>
          <w:lang w:val="nl-NL"/>
        </w:rPr>
        <w:t xml:space="preserve">đứng tên </w:t>
      </w:r>
      <w:r w:rsidR="000D245E" w:rsidRPr="000E6671">
        <w:rPr>
          <w:lang w:val="nl-NL"/>
        </w:rPr>
        <w:t>quỹ đầu tư</w:t>
      </w:r>
      <w:r w:rsidR="00EF630B">
        <w:rPr>
          <w:lang w:val="nl-NL"/>
        </w:rPr>
        <w:t>, công ty đầu tư</w:t>
      </w:r>
      <w:r w:rsidR="000D245E" w:rsidRPr="000E6671">
        <w:rPr>
          <w:lang w:val="nl-NL"/>
        </w:rPr>
        <w:t xml:space="preserve"> chứng khoán </w:t>
      </w:r>
      <w:r>
        <w:rPr>
          <w:lang w:val="nl-NL"/>
        </w:rPr>
        <w:t xml:space="preserve">đó </w:t>
      </w:r>
      <w:r w:rsidR="00EF630B">
        <w:rPr>
          <w:lang w:val="nl-NL"/>
        </w:rPr>
        <w:t xml:space="preserve">tại mỗi công ty chứng khoán theo quy định tại Khoản </w:t>
      </w:r>
      <w:r>
        <w:rPr>
          <w:lang w:val="nl-NL"/>
        </w:rPr>
        <w:t xml:space="preserve">3 Điều </w:t>
      </w:r>
      <w:r w:rsidR="00EF630B">
        <w:rPr>
          <w:lang w:val="nl-NL"/>
        </w:rPr>
        <w:t>này</w:t>
      </w:r>
      <w:r w:rsidR="000D245E" w:rsidRPr="000E6671">
        <w:rPr>
          <w:lang w:val="nl-NL"/>
        </w:rPr>
        <w:t xml:space="preserve">. </w:t>
      </w:r>
    </w:p>
    <w:p w:rsidR="000D245E" w:rsidRDefault="009423FE" w:rsidP="00181503">
      <w:pPr>
        <w:tabs>
          <w:tab w:val="center" w:pos="4441"/>
          <w:tab w:val="left" w:pos="7660"/>
        </w:tabs>
        <w:spacing w:before="120" w:after="100" w:afterAutospacing="1"/>
        <w:ind w:firstLine="560"/>
        <w:jc w:val="both"/>
        <w:rPr>
          <w:lang w:val="nl-NL"/>
        </w:rPr>
      </w:pPr>
      <w:r>
        <w:rPr>
          <w:lang w:val="nl-NL"/>
        </w:rPr>
        <w:t xml:space="preserve">- </w:t>
      </w:r>
      <w:r w:rsidR="00EF630B">
        <w:rPr>
          <w:lang w:val="nl-NL"/>
        </w:rPr>
        <w:t>C</w:t>
      </w:r>
      <w:r w:rsidR="000D245E" w:rsidRPr="000E6671">
        <w:rPr>
          <w:lang w:val="nl-NL"/>
        </w:rPr>
        <w:t xml:space="preserve">ông ty </w:t>
      </w:r>
      <w:r w:rsidR="00EF630B">
        <w:rPr>
          <w:lang w:val="nl-NL"/>
        </w:rPr>
        <w:t>được</w:t>
      </w:r>
      <w:r w:rsidR="00EF630B" w:rsidRPr="000E6671">
        <w:rPr>
          <w:lang w:val="nl-NL"/>
        </w:rPr>
        <w:t xml:space="preserve"> </w:t>
      </w:r>
      <w:r w:rsidR="000D245E" w:rsidRPr="000E6671">
        <w:rPr>
          <w:lang w:val="nl-NL"/>
        </w:rPr>
        <w:t xml:space="preserve">mở hai (02) tài khoản giao dịch đứng tên </w:t>
      </w:r>
      <w:r>
        <w:rPr>
          <w:lang w:val="nl-NL"/>
        </w:rPr>
        <w:t>mình</w:t>
      </w:r>
      <w:r w:rsidR="000D245E" w:rsidRPr="000E6671">
        <w:rPr>
          <w:lang w:val="nl-NL"/>
        </w:rPr>
        <w:t xml:space="preserve"> </w:t>
      </w:r>
      <w:r w:rsidR="00EF630B">
        <w:rPr>
          <w:lang w:val="nl-NL"/>
        </w:rPr>
        <w:t>để quản lý danh mục đầu tư cho khách hàng ủy thác</w:t>
      </w:r>
      <w:r w:rsidR="00EF630B" w:rsidRPr="000E6671">
        <w:rPr>
          <w:lang w:val="nl-NL"/>
        </w:rPr>
        <w:t xml:space="preserve"> </w:t>
      </w:r>
      <w:r w:rsidR="000D245E" w:rsidRPr="000E6671">
        <w:rPr>
          <w:lang w:val="nl-NL"/>
        </w:rPr>
        <w:t xml:space="preserve">tại </w:t>
      </w:r>
      <w:r>
        <w:rPr>
          <w:lang w:val="nl-NL"/>
        </w:rPr>
        <w:t xml:space="preserve">mỗi </w:t>
      </w:r>
      <w:r w:rsidR="000D245E" w:rsidRPr="000E6671">
        <w:rPr>
          <w:lang w:val="nl-NL"/>
        </w:rPr>
        <w:t>công ty chứng khoán</w:t>
      </w:r>
      <w:r w:rsidR="00EF630B">
        <w:rPr>
          <w:lang w:val="nl-NL"/>
        </w:rPr>
        <w:t>, trong đó</w:t>
      </w:r>
      <w:r w:rsidR="000D245E" w:rsidRPr="000E6671">
        <w:rPr>
          <w:lang w:val="nl-NL"/>
        </w:rPr>
        <w:t xml:space="preserve"> </w:t>
      </w:r>
      <w:r w:rsidR="00F52D28">
        <w:rPr>
          <w:lang w:val="nl-NL"/>
        </w:rPr>
        <w:t xml:space="preserve">một </w:t>
      </w:r>
      <w:r w:rsidR="000D245E" w:rsidRPr="000E6671">
        <w:rPr>
          <w:lang w:val="nl-NL"/>
        </w:rPr>
        <w:t>(01</w:t>
      </w:r>
      <w:r w:rsidR="00E4064D">
        <w:rPr>
          <w:lang w:val="nl-NL"/>
        </w:rPr>
        <w:t>)</w:t>
      </w:r>
      <w:r w:rsidR="000D245E" w:rsidRPr="000E6671">
        <w:rPr>
          <w:lang w:val="nl-NL"/>
        </w:rPr>
        <w:t xml:space="preserve"> tài khoản </w:t>
      </w:r>
      <w:r w:rsidR="00EF630B">
        <w:rPr>
          <w:lang w:val="nl-NL"/>
        </w:rPr>
        <w:t xml:space="preserve">để giao dịch </w:t>
      </w:r>
      <w:r w:rsidR="000D245E" w:rsidRPr="000E6671">
        <w:rPr>
          <w:lang w:val="nl-NL"/>
        </w:rPr>
        <w:t xml:space="preserve">cho </w:t>
      </w:r>
      <w:r w:rsidR="00EF630B">
        <w:rPr>
          <w:lang w:val="nl-NL"/>
        </w:rPr>
        <w:t>khách hàng</w:t>
      </w:r>
      <w:r w:rsidR="000D245E" w:rsidRPr="000E6671">
        <w:rPr>
          <w:lang w:val="nl-NL"/>
        </w:rPr>
        <w:t xml:space="preserve"> ủy thác trong nước và </w:t>
      </w:r>
      <w:r w:rsidR="00F52D28">
        <w:rPr>
          <w:lang w:val="nl-NL"/>
        </w:rPr>
        <w:t xml:space="preserve">một </w:t>
      </w:r>
      <w:r w:rsidR="00E4064D">
        <w:rPr>
          <w:lang w:val="nl-NL"/>
        </w:rPr>
        <w:t>(</w:t>
      </w:r>
      <w:r w:rsidR="000D245E" w:rsidRPr="000E6671">
        <w:rPr>
          <w:lang w:val="nl-NL"/>
        </w:rPr>
        <w:t>01</w:t>
      </w:r>
      <w:r w:rsidR="00E4064D">
        <w:rPr>
          <w:lang w:val="nl-NL"/>
        </w:rPr>
        <w:t>)</w:t>
      </w:r>
      <w:r w:rsidR="000D245E" w:rsidRPr="000E6671">
        <w:rPr>
          <w:lang w:val="nl-NL"/>
        </w:rPr>
        <w:t xml:space="preserve"> tài khoản </w:t>
      </w:r>
      <w:r w:rsidR="00EF630B">
        <w:rPr>
          <w:lang w:val="nl-NL"/>
        </w:rPr>
        <w:t xml:space="preserve">để giao dịch </w:t>
      </w:r>
      <w:r w:rsidR="000D245E" w:rsidRPr="000E6671">
        <w:rPr>
          <w:lang w:val="nl-NL"/>
        </w:rPr>
        <w:t>ch</w:t>
      </w:r>
      <w:r w:rsidR="00E4064D">
        <w:rPr>
          <w:lang w:val="nl-NL"/>
        </w:rPr>
        <w:t xml:space="preserve">o </w:t>
      </w:r>
      <w:r w:rsidR="00EF630B">
        <w:rPr>
          <w:lang w:val="nl-NL"/>
        </w:rPr>
        <w:t xml:space="preserve">khách hàng </w:t>
      </w:r>
      <w:r w:rsidR="00E4064D">
        <w:rPr>
          <w:lang w:val="nl-NL"/>
        </w:rPr>
        <w:t>ủy thác nước ngoài</w:t>
      </w:r>
      <w:r w:rsidR="000D245E" w:rsidRPr="000E6671">
        <w:rPr>
          <w:lang w:val="nl-NL"/>
        </w:rPr>
        <w:t xml:space="preserve">. </w:t>
      </w:r>
    </w:p>
    <w:p w:rsidR="00C43FE6" w:rsidRDefault="00C43FE6" w:rsidP="00181503">
      <w:pPr>
        <w:tabs>
          <w:tab w:val="center" w:pos="4441"/>
          <w:tab w:val="left" w:pos="7660"/>
        </w:tabs>
        <w:spacing w:before="120" w:after="100" w:afterAutospacing="1"/>
        <w:ind w:firstLine="560"/>
        <w:jc w:val="both"/>
        <w:rPr>
          <w:color w:val="000000"/>
          <w:lang w:val="nl-NL"/>
        </w:rPr>
      </w:pPr>
      <w:r>
        <w:rPr>
          <w:color w:val="000000"/>
          <w:lang w:val="nl-NL"/>
        </w:rPr>
        <w:t>b</w:t>
      </w:r>
      <w:r w:rsidRPr="00C43FE6">
        <w:rPr>
          <w:color w:val="000000"/>
          <w:lang w:val="nl-NL"/>
        </w:rPr>
        <w:t>)</w:t>
      </w:r>
      <w:r w:rsidRPr="008A3B50">
        <w:rPr>
          <w:i/>
          <w:color w:val="000000"/>
          <w:lang w:val="nl-NL"/>
        </w:rPr>
        <w:t xml:space="preserve"> </w:t>
      </w:r>
      <w:r w:rsidRPr="00A0463D">
        <w:rPr>
          <w:color w:val="000000"/>
          <w:lang w:val="nl-NL"/>
        </w:rPr>
        <w:t>Công ty chứng khoán</w:t>
      </w:r>
      <w:r>
        <w:rPr>
          <w:color w:val="000000"/>
          <w:lang w:val="nl-NL"/>
        </w:rPr>
        <w:t xml:space="preserve"> trong nước được mở </w:t>
      </w:r>
      <w:r w:rsidR="00C22876">
        <w:rPr>
          <w:color w:val="000000"/>
          <w:lang w:val="nl-NL"/>
        </w:rPr>
        <w:t xml:space="preserve">nhiều </w:t>
      </w:r>
      <w:r>
        <w:rPr>
          <w:color w:val="000000"/>
          <w:lang w:val="nl-NL"/>
        </w:rPr>
        <w:t>tài khoản giao dịch theo nguyên tắc sau:</w:t>
      </w:r>
    </w:p>
    <w:p w:rsidR="00C43FE6" w:rsidRPr="00A0463D" w:rsidRDefault="00C43FE6" w:rsidP="00181503">
      <w:pPr>
        <w:tabs>
          <w:tab w:val="center" w:pos="4441"/>
          <w:tab w:val="left" w:pos="7660"/>
        </w:tabs>
        <w:spacing w:before="120" w:after="100" w:afterAutospacing="1"/>
        <w:jc w:val="both"/>
        <w:rPr>
          <w:color w:val="000000"/>
          <w:lang w:val="nl-NL"/>
        </w:rPr>
      </w:pPr>
      <w:r>
        <w:rPr>
          <w:color w:val="000000"/>
          <w:lang w:val="nl-NL"/>
        </w:rPr>
        <w:t xml:space="preserve">          -</w:t>
      </w:r>
      <w:r w:rsidRPr="00A0463D">
        <w:rPr>
          <w:color w:val="000000"/>
          <w:lang w:val="nl-NL"/>
        </w:rPr>
        <w:t xml:space="preserve"> </w:t>
      </w:r>
      <w:r>
        <w:rPr>
          <w:color w:val="000000"/>
          <w:lang w:val="nl-NL"/>
        </w:rPr>
        <w:t>Công ty chứng khoán c</w:t>
      </w:r>
      <w:r w:rsidRPr="00A0463D">
        <w:rPr>
          <w:color w:val="000000"/>
          <w:lang w:val="nl-NL"/>
        </w:rPr>
        <w:t xml:space="preserve">ó nghiệp vụ tự doanh chỉ được phép mở một tài khoản giao dịch </w:t>
      </w:r>
      <w:r>
        <w:rPr>
          <w:color w:val="000000"/>
          <w:lang w:val="nl-NL"/>
        </w:rPr>
        <w:t xml:space="preserve">tự doanh </w:t>
      </w:r>
      <w:r w:rsidRPr="00A0463D">
        <w:rPr>
          <w:color w:val="000000"/>
          <w:lang w:val="nl-NL"/>
        </w:rPr>
        <w:t xml:space="preserve">tại chính công ty chứng khoán </w:t>
      </w:r>
      <w:r>
        <w:rPr>
          <w:color w:val="000000"/>
          <w:lang w:val="nl-NL"/>
        </w:rPr>
        <w:t xml:space="preserve">đó, </w:t>
      </w:r>
      <w:r w:rsidRPr="00A0463D">
        <w:rPr>
          <w:color w:val="000000"/>
          <w:lang w:val="nl-NL"/>
        </w:rPr>
        <w:t xml:space="preserve">không được mở bất cứ tài khoản </w:t>
      </w:r>
      <w:r>
        <w:rPr>
          <w:color w:val="000000"/>
          <w:lang w:val="nl-NL"/>
        </w:rPr>
        <w:t xml:space="preserve">giao dịch khác </w:t>
      </w:r>
      <w:r w:rsidRPr="00A0463D">
        <w:rPr>
          <w:color w:val="000000"/>
          <w:lang w:val="nl-NL"/>
        </w:rPr>
        <w:t>tại các công</w:t>
      </w:r>
      <w:r>
        <w:rPr>
          <w:color w:val="000000"/>
          <w:lang w:val="nl-NL"/>
        </w:rPr>
        <w:t xml:space="preserve"> ty chứng khoán khác; </w:t>
      </w:r>
    </w:p>
    <w:p w:rsidR="00C43FE6" w:rsidRDefault="00C43FE6" w:rsidP="00181503">
      <w:pPr>
        <w:tabs>
          <w:tab w:val="center" w:pos="4441"/>
          <w:tab w:val="left" w:pos="7660"/>
        </w:tabs>
        <w:spacing w:before="120" w:after="100" w:afterAutospacing="1"/>
        <w:ind w:firstLine="560"/>
        <w:jc w:val="both"/>
        <w:rPr>
          <w:color w:val="000000"/>
          <w:lang w:val="nl-NL"/>
        </w:rPr>
      </w:pPr>
      <w:r w:rsidRPr="0001758B">
        <w:rPr>
          <w:color w:val="000000"/>
          <w:lang w:val="nl-NL"/>
        </w:rPr>
        <w:t xml:space="preserve">Trường hợp </w:t>
      </w:r>
      <w:r>
        <w:rPr>
          <w:color w:val="000000"/>
          <w:lang w:val="nl-NL"/>
        </w:rPr>
        <w:t>bị</w:t>
      </w:r>
      <w:r w:rsidRPr="0001758B">
        <w:rPr>
          <w:color w:val="000000"/>
          <w:lang w:val="nl-NL"/>
        </w:rPr>
        <w:t xml:space="preserve"> rút nghiệp vụ tự doanh chứng khoán</w:t>
      </w:r>
      <w:r>
        <w:rPr>
          <w:color w:val="000000"/>
          <w:lang w:val="nl-NL"/>
        </w:rPr>
        <w:t>, công ty</w:t>
      </w:r>
      <w:r w:rsidRPr="0001758B">
        <w:rPr>
          <w:color w:val="000000"/>
          <w:lang w:val="nl-NL"/>
        </w:rPr>
        <w:t xml:space="preserve"> </w:t>
      </w:r>
      <w:r>
        <w:rPr>
          <w:color w:val="000000"/>
          <w:lang w:val="nl-NL"/>
        </w:rPr>
        <w:t xml:space="preserve">chỉ được phép bán ra cho tới khi bán hết số chứng khoán có trên tài khoản tự doanh. Tài khoản này phải được đóng ngay sau </w:t>
      </w:r>
      <w:r w:rsidR="00C22876">
        <w:rPr>
          <w:color w:val="000000"/>
          <w:lang w:val="nl-NL"/>
        </w:rPr>
        <w:t>đó.</w:t>
      </w:r>
    </w:p>
    <w:p w:rsidR="00C43FE6" w:rsidRDefault="00C22876" w:rsidP="00181503">
      <w:pPr>
        <w:tabs>
          <w:tab w:val="center" w:pos="4441"/>
          <w:tab w:val="left" w:pos="7660"/>
        </w:tabs>
        <w:spacing w:before="120" w:after="100" w:afterAutospacing="1"/>
        <w:ind w:firstLine="560"/>
        <w:jc w:val="both"/>
        <w:rPr>
          <w:color w:val="000000"/>
          <w:lang w:val="nl-NL"/>
        </w:rPr>
      </w:pPr>
      <w:r>
        <w:rPr>
          <w:color w:val="000000"/>
          <w:lang w:val="nl-NL"/>
        </w:rPr>
        <w:t xml:space="preserve">  -</w:t>
      </w:r>
      <w:r w:rsidR="00C43FE6">
        <w:rPr>
          <w:color w:val="000000"/>
          <w:lang w:val="nl-NL"/>
        </w:rPr>
        <w:t xml:space="preserve"> Công ty chứng khoán được mở tài khoản giao dịch tại thành viên lập quỹ </w:t>
      </w:r>
      <w:r>
        <w:rPr>
          <w:color w:val="000000"/>
          <w:lang w:val="nl-NL"/>
        </w:rPr>
        <w:t xml:space="preserve">ETF </w:t>
      </w:r>
      <w:r w:rsidR="00C43FE6">
        <w:rPr>
          <w:color w:val="000000"/>
          <w:lang w:val="nl-NL"/>
        </w:rPr>
        <w:t>để thực hiện các giao dịch hoán đổi với quỹ ETF. Tài khoản này được sử dụng để thực hiện lệnh giao dịch hoán đổi chứng chỉ quỹ ETF, không dùng để lưu ký và thực hiện các giao dịch thông thường hay bất cứ mục đích nào khác.</w:t>
      </w:r>
    </w:p>
    <w:p w:rsidR="00C43FE6" w:rsidRPr="00A0463D" w:rsidRDefault="00C43FE6" w:rsidP="00181503">
      <w:pPr>
        <w:tabs>
          <w:tab w:val="center" w:pos="4441"/>
          <w:tab w:val="left" w:pos="7660"/>
        </w:tabs>
        <w:spacing w:before="120" w:after="100" w:afterAutospacing="1"/>
        <w:jc w:val="both"/>
        <w:rPr>
          <w:color w:val="000000"/>
          <w:lang w:val="nl-NL"/>
        </w:rPr>
      </w:pPr>
      <w:r>
        <w:rPr>
          <w:color w:val="000000"/>
          <w:lang w:val="nl-NL"/>
        </w:rPr>
        <w:t xml:space="preserve">           </w:t>
      </w:r>
      <w:r w:rsidR="00C22876">
        <w:rPr>
          <w:color w:val="000000"/>
          <w:lang w:val="nl-NL"/>
        </w:rPr>
        <w:t>-</w:t>
      </w:r>
      <w:r w:rsidRPr="00F36AF9">
        <w:rPr>
          <w:color w:val="000000"/>
          <w:lang w:val="nl-NL"/>
        </w:rPr>
        <w:t xml:space="preserve"> </w:t>
      </w:r>
      <w:r>
        <w:rPr>
          <w:color w:val="000000"/>
          <w:lang w:val="nl-NL"/>
        </w:rPr>
        <w:t>Công ty chứng khoán là thành viên tạo lập thị trường, t</w:t>
      </w:r>
      <w:r w:rsidRPr="009E6F2D">
        <w:rPr>
          <w:color w:val="000000"/>
          <w:lang w:val="nl-NL"/>
        </w:rPr>
        <w:t xml:space="preserve">hành viên lập quỹ </w:t>
      </w:r>
      <w:r>
        <w:rPr>
          <w:color w:val="000000"/>
          <w:lang w:val="nl-NL"/>
        </w:rPr>
        <w:t>ETF được mở tài khoản tạo lập thị trường</w:t>
      </w:r>
      <w:r w:rsidR="00C22876">
        <w:rPr>
          <w:color w:val="000000"/>
          <w:lang w:val="nl-NL"/>
        </w:rPr>
        <w:t xml:space="preserve"> tại chính công ty chứng khoán đó. T</w:t>
      </w:r>
      <w:r>
        <w:rPr>
          <w:color w:val="000000"/>
          <w:lang w:val="nl-NL"/>
        </w:rPr>
        <w:t xml:space="preserve">ài khoản này </w:t>
      </w:r>
      <w:r w:rsidR="00C22876">
        <w:rPr>
          <w:color w:val="000000"/>
          <w:lang w:val="nl-NL"/>
        </w:rPr>
        <w:t xml:space="preserve">phải được SGDCK và TTLKCK phối hợp cấp mã số nhận diện và </w:t>
      </w:r>
      <w:r>
        <w:rPr>
          <w:color w:val="000000"/>
          <w:lang w:val="nl-NL"/>
        </w:rPr>
        <w:t xml:space="preserve">chỉ được sử dụng để mua, bán chứng chỉ quỹ ETF và các loại chứng khoán do SGDCK </w:t>
      </w:r>
      <w:r w:rsidR="00C22876">
        <w:rPr>
          <w:color w:val="000000"/>
          <w:lang w:val="nl-NL"/>
        </w:rPr>
        <w:t>xác</w:t>
      </w:r>
      <w:r>
        <w:rPr>
          <w:color w:val="000000"/>
          <w:lang w:val="nl-NL"/>
        </w:rPr>
        <w:t xml:space="preserve"> định trên cơ</w:t>
      </w:r>
      <w:r w:rsidR="00C22876">
        <w:rPr>
          <w:color w:val="000000"/>
          <w:lang w:val="nl-NL"/>
        </w:rPr>
        <w:t xml:space="preserve"> sở Hợp đồng tạo lập thị trường. Tài khoản này</w:t>
      </w:r>
      <w:r w:rsidRPr="009E6F2D">
        <w:rPr>
          <w:color w:val="000000"/>
          <w:lang w:val="nl-NL"/>
        </w:rPr>
        <w:t xml:space="preserve"> phải </w:t>
      </w:r>
      <w:r w:rsidR="00C22876">
        <w:rPr>
          <w:color w:val="000000"/>
          <w:lang w:val="nl-NL"/>
        </w:rPr>
        <w:t xml:space="preserve">được </w:t>
      </w:r>
      <w:r w:rsidRPr="009E6F2D">
        <w:rPr>
          <w:color w:val="000000"/>
          <w:lang w:val="nl-NL"/>
        </w:rPr>
        <w:t xml:space="preserve">quản lý tách biệt với tài khoản </w:t>
      </w:r>
      <w:r>
        <w:rPr>
          <w:color w:val="000000"/>
          <w:lang w:val="nl-NL"/>
        </w:rPr>
        <w:t>giao dịch tự doanh</w:t>
      </w:r>
      <w:r w:rsidR="00C22876">
        <w:rPr>
          <w:color w:val="000000"/>
          <w:lang w:val="nl-NL"/>
        </w:rPr>
        <w:t xml:space="preserve"> (nếu có)</w:t>
      </w:r>
      <w:r w:rsidRPr="009E6F2D">
        <w:rPr>
          <w:color w:val="000000"/>
          <w:lang w:val="nl-NL"/>
        </w:rPr>
        <w:t>.</w:t>
      </w:r>
      <w:r w:rsidRPr="00A0463D">
        <w:rPr>
          <w:color w:val="000000"/>
          <w:lang w:val="nl-NL"/>
        </w:rPr>
        <w:t xml:space="preserve"> </w:t>
      </w:r>
    </w:p>
    <w:p w:rsidR="00C43FE6" w:rsidRDefault="00C22876" w:rsidP="00181503">
      <w:pPr>
        <w:tabs>
          <w:tab w:val="center" w:pos="4441"/>
          <w:tab w:val="left" w:pos="7660"/>
        </w:tabs>
        <w:spacing w:before="120" w:after="100" w:afterAutospacing="1"/>
        <w:ind w:firstLine="560"/>
        <w:jc w:val="both"/>
        <w:rPr>
          <w:lang w:val="nl-NL"/>
        </w:rPr>
      </w:pPr>
      <w:r>
        <w:rPr>
          <w:color w:val="000000"/>
          <w:lang w:val="nl-NL"/>
        </w:rPr>
        <w:t xml:space="preserve">   -</w:t>
      </w:r>
      <w:r w:rsidR="00C43FE6">
        <w:rPr>
          <w:color w:val="000000"/>
          <w:lang w:val="nl-NL"/>
        </w:rPr>
        <w:t xml:space="preserve"> </w:t>
      </w:r>
      <w:r>
        <w:rPr>
          <w:color w:val="000000"/>
          <w:lang w:val="nl-NL"/>
        </w:rPr>
        <w:t>Mỗi c</w:t>
      </w:r>
      <w:r w:rsidR="00C43FE6">
        <w:rPr>
          <w:color w:val="000000"/>
          <w:lang w:val="nl-NL"/>
        </w:rPr>
        <w:t xml:space="preserve">ông ty chứng khoán được mở </w:t>
      </w:r>
      <w:r>
        <w:rPr>
          <w:color w:val="000000"/>
          <w:lang w:val="nl-NL"/>
        </w:rPr>
        <w:t xml:space="preserve">một </w:t>
      </w:r>
      <w:r w:rsidR="00C43FE6">
        <w:rPr>
          <w:color w:val="000000"/>
          <w:lang w:val="nl-NL"/>
        </w:rPr>
        <w:t xml:space="preserve">tài khoản </w:t>
      </w:r>
      <w:r>
        <w:rPr>
          <w:color w:val="000000"/>
          <w:lang w:val="nl-NL"/>
        </w:rPr>
        <w:t xml:space="preserve">giao dịch </w:t>
      </w:r>
      <w:r w:rsidR="00C43FE6">
        <w:rPr>
          <w:color w:val="000000"/>
          <w:lang w:val="nl-NL"/>
        </w:rPr>
        <w:t xml:space="preserve">có mã nhận diện riêng do SGDCK, TTLKCK phối hợp xác định để thực hiện </w:t>
      </w:r>
      <w:r>
        <w:rPr>
          <w:color w:val="000000"/>
          <w:lang w:val="nl-NL"/>
        </w:rPr>
        <w:t xml:space="preserve">các </w:t>
      </w:r>
      <w:r>
        <w:rPr>
          <w:color w:val="000000"/>
          <w:lang w:val="nl-NL"/>
        </w:rPr>
        <w:lastRenderedPageBreak/>
        <w:t>giao dịch mua, bán bắt buộc hoặc</w:t>
      </w:r>
      <w:r w:rsidR="00C43FE6">
        <w:rPr>
          <w:color w:val="000000"/>
          <w:lang w:val="nl-NL"/>
        </w:rPr>
        <w:t xml:space="preserve"> vay trên hệ thống </w:t>
      </w:r>
      <w:r>
        <w:rPr>
          <w:color w:val="000000"/>
          <w:lang w:val="nl-NL"/>
        </w:rPr>
        <w:t xml:space="preserve">của TTLKCK </w:t>
      </w:r>
      <w:r w:rsidR="00C43FE6">
        <w:rPr>
          <w:color w:val="000000"/>
          <w:lang w:val="nl-NL"/>
        </w:rPr>
        <w:t>nhằm mục đích hỗ trợ thanh toán.</w:t>
      </w:r>
      <w:r w:rsidR="009423FE">
        <w:rPr>
          <w:lang w:val="nl-NL"/>
        </w:rPr>
        <w:t xml:space="preserve">  </w:t>
      </w:r>
    </w:p>
    <w:p w:rsidR="009423FE" w:rsidRDefault="00C22876" w:rsidP="00181503">
      <w:pPr>
        <w:tabs>
          <w:tab w:val="center" w:pos="4441"/>
          <w:tab w:val="left" w:pos="7660"/>
        </w:tabs>
        <w:spacing w:before="120" w:after="100" w:afterAutospacing="1"/>
        <w:ind w:firstLine="560"/>
        <w:jc w:val="both"/>
        <w:rPr>
          <w:lang w:val="nl-NL"/>
        </w:rPr>
      </w:pPr>
      <w:r>
        <w:rPr>
          <w:lang w:val="nl-NL"/>
        </w:rPr>
        <w:t>c</w:t>
      </w:r>
      <w:r w:rsidR="001160EF">
        <w:rPr>
          <w:lang w:val="nl-NL"/>
        </w:rPr>
        <w:t>)</w:t>
      </w:r>
      <w:r w:rsidR="0087079A">
        <w:rPr>
          <w:lang w:val="nl-NL"/>
        </w:rPr>
        <w:t xml:space="preserve"> </w:t>
      </w:r>
      <w:r w:rsidR="009423FE">
        <w:rPr>
          <w:lang w:val="nl-NL"/>
        </w:rPr>
        <w:t>C</w:t>
      </w:r>
      <w:r w:rsidR="000D245E" w:rsidRPr="000E6671">
        <w:rPr>
          <w:lang w:val="nl-NL"/>
        </w:rPr>
        <w:t xml:space="preserve">ông ty chứng khoán </w:t>
      </w:r>
      <w:r w:rsidR="00A65B57">
        <w:rPr>
          <w:lang w:val="nl-NL"/>
        </w:rPr>
        <w:t xml:space="preserve">thành lập ở </w:t>
      </w:r>
      <w:r w:rsidR="000D245E" w:rsidRPr="000E6671">
        <w:rPr>
          <w:lang w:val="nl-NL"/>
        </w:rPr>
        <w:t xml:space="preserve">nước ngoài </w:t>
      </w:r>
      <w:r w:rsidR="009423FE">
        <w:rPr>
          <w:lang w:val="nl-NL"/>
        </w:rPr>
        <w:t>được</w:t>
      </w:r>
      <w:r w:rsidR="00965A01" w:rsidRPr="000E6671">
        <w:rPr>
          <w:lang w:val="nl-NL"/>
        </w:rPr>
        <w:t xml:space="preserve"> </w:t>
      </w:r>
      <w:r w:rsidR="000D245E" w:rsidRPr="000E6671">
        <w:rPr>
          <w:lang w:val="nl-NL"/>
        </w:rPr>
        <w:t xml:space="preserve">mở </w:t>
      </w:r>
      <w:r w:rsidR="009423FE">
        <w:rPr>
          <w:lang w:val="nl-NL"/>
        </w:rPr>
        <w:t xml:space="preserve">nhiều </w:t>
      </w:r>
      <w:r w:rsidR="000D245E" w:rsidRPr="000E6671">
        <w:rPr>
          <w:lang w:val="nl-NL"/>
        </w:rPr>
        <w:t xml:space="preserve">tài khoản giao dịch </w:t>
      </w:r>
      <w:r w:rsidR="009423FE">
        <w:rPr>
          <w:lang w:val="nl-NL"/>
        </w:rPr>
        <w:t xml:space="preserve">tại mỗi công ty </w:t>
      </w:r>
      <w:r w:rsidR="000D245E" w:rsidRPr="000E6671">
        <w:rPr>
          <w:lang w:val="nl-NL"/>
        </w:rPr>
        <w:t xml:space="preserve">chứng khoán </w:t>
      </w:r>
      <w:r w:rsidR="009423FE">
        <w:rPr>
          <w:lang w:val="nl-NL"/>
        </w:rPr>
        <w:t>theo nguyên tắc sau:</w:t>
      </w:r>
    </w:p>
    <w:p w:rsidR="009423FE" w:rsidRDefault="009423FE" w:rsidP="00181503">
      <w:pPr>
        <w:tabs>
          <w:tab w:val="center" w:pos="4441"/>
          <w:tab w:val="left" w:pos="7660"/>
        </w:tabs>
        <w:spacing w:before="120" w:after="100" w:afterAutospacing="1"/>
        <w:ind w:firstLine="560"/>
        <w:jc w:val="both"/>
        <w:rPr>
          <w:lang w:val="nl-NL"/>
        </w:rPr>
      </w:pPr>
      <w:r>
        <w:rPr>
          <w:lang w:val="nl-NL"/>
        </w:rPr>
        <w:t>-  Công ty được mở một (01) tài khoản giao dịch đứng tên mình để phục vụ cho hoạt động tự doanh;</w:t>
      </w:r>
    </w:p>
    <w:p w:rsidR="009423FE" w:rsidRDefault="009423FE" w:rsidP="00181503">
      <w:pPr>
        <w:tabs>
          <w:tab w:val="center" w:pos="4441"/>
          <w:tab w:val="left" w:pos="7660"/>
        </w:tabs>
        <w:spacing w:before="120" w:after="100" w:afterAutospacing="1"/>
        <w:ind w:firstLine="560"/>
        <w:jc w:val="both"/>
        <w:rPr>
          <w:lang w:val="nl-NL"/>
        </w:rPr>
      </w:pPr>
      <w:r>
        <w:rPr>
          <w:lang w:val="nl-NL"/>
        </w:rPr>
        <w:t>- Công ty được mở một (01) tài khoản giao dịch tổng, đứng tên mình, để phục vụ cho hoạt động môi giới giao dịch cho các nhà đầu tư khác</w:t>
      </w:r>
      <w:r w:rsidR="00272FC6">
        <w:rPr>
          <w:lang w:val="nl-NL"/>
        </w:rPr>
        <w:t>. Nhà đầu tư nước ngoài thực hiện giao dịch trên tài khoản giao dịch tổng có trách nhiệm yêu cầu thành viên lưu ký mở tài khoản lưu ký riêng của mình, được quản lý tách biệt với các tài khoản của các nhà đầu tư khác, để lưu ký các chứng khoán của mình.</w:t>
      </w:r>
    </w:p>
    <w:p w:rsidR="00804B4B" w:rsidRDefault="00804B4B" w:rsidP="00181503">
      <w:pPr>
        <w:tabs>
          <w:tab w:val="center" w:pos="4441"/>
          <w:tab w:val="left" w:pos="7660"/>
        </w:tabs>
        <w:spacing w:before="120" w:after="100" w:afterAutospacing="1"/>
        <w:ind w:firstLine="560"/>
        <w:jc w:val="both"/>
        <w:rPr>
          <w:lang w:val="nl-NL"/>
        </w:rPr>
      </w:pPr>
      <w:r>
        <w:rPr>
          <w:lang w:val="nl-NL"/>
        </w:rPr>
        <w:t xml:space="preserve">   Thành viên lưu ký nơi mà công ty chứng khoán nước ngoài mở tài khoản lưu ký tổng có trách nhiệm phối hợp với công ty chứng khoán nước ngoài trong việc thiết lập, hạch toán, theo dõi và giám sát đến từng khách hàng của công ty chứng khoán nước ngoài, bảo đảm tài sản giao dịch của từng khách hàng được quản lý tách biệt đến từng tiểu khoản lưu ký đứng tên khách hàng đó;</w:t>
      </w:r>
    </w:p>
    <w:p w:rsidR="00C43FE6" w:rsidRDefault="00C53C78" w:rsidP="00181503">
      <w:pPr>
        <w:tabs>
          <w:tab w:val="center" w:pos="4441"/>
          <w:tab w:val="left" w:pos="7660"/>
        </w:tabs>
        <w:spacing w:before="120" w:after="100" w:afterAutospacing="1"/>
        <w:ind w:firstLine="560"/>
        <w:jc w:val="both"/>
        <w:rPr>
          <w:lang w:val="nl-NL"/>
        </w:rPr>
      </w:pPr>
      <w:r>
        <w:rPr>
          <w:lang w:val="nl-NL"/>
        </w:rPr>
        <w:t xml:space="preserve">  </w:t>
      </w:r>
      <w:r w:rsidR="00C22876">
        <w:rPr>
          <w:lang w:val="nl-NL"/>
        </w:rPr>
        <w:t>d</w:t>
      </w:r>
      <w:r>
        <w:rPr>
          <w:lang w:val="nl-NL"/>
        </w:rPr>
        <w:t>)</w:t>
      </w:r>
      <w:r w:rsidR="00DA1CF5">
        <w:rPr>
          <w:lang w:val="nl-NL"/>
        </w:rPr>
        <w:t xml:space="preserve"> </w:t>
      </w:r>
      <w:r w:rsidR="000D245E" w:rsidRPr="000E6671">
        <w:rPr>
          <w:lang w:val="nl-NL"/>
        </w:rPr>
        <w:t xml:space="preserve">Công ty bảo hiểm </w:t>
      </w:r>
      <w:r w:rsidR="00A65B57">
        <w:rPr>
          <w:lang w:val="nl-NL"/>
        </w:rPr>
        <w:t xml:space="preserve">là tổ chức kinh tế có vốn </w:t>
      </w:r>
      <w:r w:rsidR="000D245E" w:rsidRPr="000E6671">
        <w:rPr>
          <w:lang w:val="nl-NL"/>
        </w:rPr>
        <w:t>nước ngoài</w:t>
      </w:r>
      <w:r w:rsidR="00A65B57">
        <w:rPr>
          <w:lang w:val="nl-NL"/>
        </w:rPr>
        <w:t xml:space="preserve"> theo quy định tại Khoản 1 Điều 24 Luật đầu tư</w:t>
      </w:r>
      <w:r w:rsidR="000D245E" w:rsidRPr="000E6671">
        <w:rPr>
          <w:lang w:val="nl-NL"/>
        </w:rPr>
        <w:t xml:space="preserve"> </w:t>
      </w:r>
      <w:r w:rsidR="009423FE">
        <w:rPr>
          <w:lang w:val="nl-NL"/>
        </w:rPr>
        <w:t>được</w:t>
      </w:r>
      <w:r w:rsidR="000D245E" w:rsidRPr="000E6671">
        <w:rPr>
          <w:lang w:val="nl-NL"/>
        </w:rPr>
        <w:t xml:space="preserve"> mở hai</w:t>
      </w:r>
      <w:r w:rsidR="00DF76BD">
        <w:rPr>
          <w:lang w:val="nl-NL"/>
        </w:rPr>
        <w:t xml:space="preserve"> (02)</w:t>
      </w:r>
      <w:r w:rsidR="000D245E" w:rsidRPr="000E6671">
        <w:rPr>
          <w:lang w:val="nl-NL"/>
        </w:rPr>
        <w:t xml:space="preserve"> tài khoản giao dịch tại </w:t>
      </w:r>
      <w:r w:rsidR="009423FE">
        <w:rPr>
          <w:lang w:val="nl-NL"/>
        </w:rPr>
        <w:t xml:space="preserve">mỗi </w:t>
      </w:r>
      <w:r w:rsidR="000D245E" w:rsidRPr="000E6671">
        <w:rPr>
          <w:lang w:val="nl-NL"/>
        </w:rPr>
        <w:t>công ty chứng khoán</w:t>
      </w:r>
      <w:r w:rsidR="00B94BC1">
        <w:rPr>
          <w:lang w:val="nl-NL"/>
        </w:rPr>
        <w:t>:</w:t>
      </w:r>
      <w:r w:rsidR="00260D6A">
        <w:rPr>
          <w:lang w:val="nl-NL"/>
        </w:rPr>
        <w:t xml:space="preserve"> </w:t>
      </w:r>
    </w:p>
    <w:p w:rsidR="00C43FE6" w:rsidRDefault="00C43FE6" w:rsidP="00181503">
      <w:pPr>
        <w:tabs>
          <w:tab w:val="center" w:pos="4441"/>
          <w:tab w:val="left" w:pos="7660"/>
        </w:tabs>
        <w:spacing w:before="120" w:after="100" w:afterAutospacing="1"/>
        <w:ind w:firstLine="560"/>
        <w:jc w:val="both"/>
        <w:rPr>
          <w:lang w:val="nl-NL"/>
        </w:rPr>
      </w:pPr>
      <w:r>
        <w:rPr>
          <w:lang w:val="nl-NL"/>
        </w:rPr>
        <w:t>- M</w:t>
      </w:r>
      <w:r w:rsidR="00260D6A">
        <w:rPr>
          <w:lang w:val="nl-NL"/>
        </w:rPr>
        <w:t xml:space="preserve">ột (01) tài khoản </w:t>
      </w:r>
      <w:r>
        <w:rPr>
          <w:lang w:val="nl-NL"/>
        </w:rPr>
        <w:t xml:space="preserve">để giao dịch từ </w:t>
      </w:r>
      <w:r w:rsidR="000D245E" w:rsidRPr="000E6671">
        <w:rPr>
          <w:lang w:val="nl-NL"/>
        </w:rPr>
        <w:t>nguồn vốn chủ sở hữu</w:t>
      </w:r>
      <w:r>
        <w:rPr>
          <w:lang w:val="nl-NL"/>
        </w:rPr>
        <w:t xml:space="preserve">. Chứng khoán có được từ giao dịch trên tài khoản này chịu sự điều chỉnh bởi quy định pháp luật về sở hữu của nhà đầu tư nước ngoài; </w:t>
      </w:r>
    </w:p>
    <w:p w:rsidR="00260D6A" w:rsidRDefault="00C43FE6" w:rsidP="00181503">
      <w:pPr>
        <w:tabs>
          <w:tab w:val="center" w:pos="4441"/>
          <w:tab w:val="left" w:pos="7660"/>
        </w:tabs>
        <w:spacing w:before="120" w:after="100" w:afterAutospacing="1"/>
        <w:ind w:firstLine="560"/>
        <w:jc w:val="both"/>
        <w:rPr>
          <w:lang w:val="nl-NL"/>
        </w:rPr>
      </w:pPr>
      <w:r>
        <w:rPr>
          <w:lang w:val="nl-NL"/>
        </w:rPr>
        <w:t>- M</w:t>
      </w:r>
      <w:r w:rsidR="00260D6A">
        <w:rPr>
          <w:lang w:val="nl-NL"/>
        </w:rPr>
        <w:t xml:space="preserve">ột (01) tài khoản </w:t>
      </w:r>
      <w:r>
        <w:rPr>
          <w:lang w:val="nl-NL"/>
        </w:rPr>
        <w:t xml:space="preserve">để giao dịch </w:t>
      </w:r>
      <w:r w:rsidR="000D245E" w:rsidRPr="000E6671">
        <w:rPr>
          <w:lang w:val="nl-NL"/>
        </w:rPr>
        <w:t>từ nguồn</w:t>
      </w:r>
      <w:r w:rsidR="00260D6A">
        <w:rPr>
          <w:lang w:val="nl-NL"/>
        </w:rPr>
        <w:t xml:space="preserve"> </w:t>
      </w:r>
      <w:r>
        <w:rPr>
          <w:lang w:val="nl-NL"/>
        </w:rPr>
        <w:t xml:space="preserve">thu bảo </w:t>
      </w:r>
      <w:r w:rsidR="000D245E" w:rsidRPr="000E6671">
        <w:rPr>
          <w:lang w:val="nl-NL"/>
        </w:rPr>
        <w:t xml:space="preserve">phí </w:t>
      </w:r>
      <w:r>
        <w:rPr>
          <w:lang w:val="nl-NL"/>
        </w:rPr>
        <w:t xml:space="preserve">trong nước. Việc sở hữu chứng khoán có được từ giao dịch trên tài khoản này </w:t>
      </w:r>
      <w:r w:rsidR="00260D6A">
        <w:rPr>
          <w:lang w:val="nl-NL"/>
        </w:rPr>
        <w:t xml:space="preserve">không chịu sự điều chỉnh </w:t>
      </w:r>
      <w:r>
        <w:rPr>
          <w:lang w:val="nl-NL"/>
        </w:rPr>
        <w:t xml:space="preserve">bởi quy định pháp luật </w:t>
      </w:r>
      <w:r w:rsidR="00260D6A">
        <w:rPr>
          <w:lang w:val="nl-NL"/>
        </w:rPr>
        <w:t>về sở hữu của nhà đầu tư nước ngoài.</w:t>
      </w:r>
    </w:p>
    <w:p w:rsidR="00272FC6" w:rsidRDefault="0047073E" w:rsidP="00181503">
      <w:pPr>
        <w:tabs>
          <w:tab w:val="center" w:pos="4441"/>
          <w:tab w:val="left" w:pos="7660"/>
        </w:tabs>
        <w:spacing w:before="120" w:after="100" w:afterAutospacing="1"/>
        <w:ind w:firstLine="560"/>
        <w:jc w:val="both"/>
        <w:rPr>
          <w:lang w:val="nl-NL"/>
        </w:rPr>
      </w:pPr>
      <w:r>
        <w:rPr>
          <w:lang w:val="nl-NL"/>
        </w:rPr>
        <w:t xml:space="preserve">7. </w:t>
      </w:r>
      <w:r w:rsidR="00C43FE6">
        <w:rPr>
          <w:lang w:val="nl-NL"/>
        </w:rPr>
        <w:t xml:space="preserve">Nhà </w:t>
      </w:r>
      <w:r w:rsidR="00945B2A">
        <w:rPr>
          <w:lang w:val="nl-NL"/>
        </w:rPr>
        <w:t xml:space="preserve">đầu tư nước ngoài được mở nhiều tài khoản giao dịch theo nguyên tắc cứ mỗi một mã số giao dịch chứng khoán được cấp thì được mở một tài khoản giao dịch tại </w:t>
      </w:r>
      <w:r w:rsidR="00C43FE6">
        <w:rPr>
          <w:lang w:val="nl-NL"/>
        </w:rPr>
        <w:t xml:space="preserve">mỗi </w:t>
      </w:r>
      <w:r w:rsidR="00945B2A">
        <w:rPr>
          <w:lang w:val="nl-NL"/>
        </w:rPr>
        <w:t>công ty chứng khoán.</w:t>
      </w:r>
    </w:p>
    <w:p w:rsidR="00842A5B" w:rsidRPr="00804B4B" w:rsidRDefault="00842A5B" w:rsidP="00181503">
      <w:pPr>
        <w:tabs>
          <w:tab w:val="center" w:pos="4441"/>
          <w:tab w:val="left" w:pos="7660"/>
        </w:tabs>
        <w:spacing w:before="120" w:after="100" w:afterAutospacing="1"/>
        <w:jc w:val="both"/>
        <w:rPr>
          <w:lang w:val="nl-NL"/>
        </w:rPr>
      </w:pPr>
      <w:r>
        <w:rPr>
          <w:lang w:val="nl-NL"/>
        </w:rPr>
        <w:t xml:space="preserve">         </w:t>
      </w:r>
      <w:r w:rsidR="0047073E">
        <w:rPr>
          <w:lang w:val="nl-NL"/>
        </w:rPr>
        <w:t>8</w:t>
      </w:r>
      <w:r w:rsidR="001E6F31" w:rsidRPr="00842A5B">
        <w:rPr>
          <w:lang w:val="nl-NL"/>
        </w:rPr>
        <w:t xml:space="preserve">. </w:t>
      </w:r>
      <w:r w:rsidR="00D10EEC" w:rsidRPr="003445EE">
        <w:rPr>
          <w:lang w:val="nl-NL"/>
        </w:rPr>
        <w:t>Nhà đầu tư mở nhiều tài khoản giao dịch chứng khoán phải thực hiện nghĩa vụ cổ đông lớn khi sở hữu tổng số chứng khoán trên các tài khoản từ năm phần trăm (5%) trở lên số cổ phiếu có quyền biểu quyết của tổ chức phát hành.</w:t>
      </w:r>
      <w:r w:rsidR="00175EEC" w:rsidRPr="00842A5B">
        <w:rPr>
          <w:b/>
          <w:bCs/>
          <w:lang w:val="nl-NL"/>
        </w:rPr>
        <w:t xml:space="preserve">   </w:t>
      </w:r>
      <w:r w:rsidR="00175EEC">
        <w:rPr>
          <w:b/>
          <w:bCs/>
          <w:lang w:val="nl-NL"/>
        </w:rPr>
        <w:t xml:space="preserve">       </w:t>
      </w:r>
    </w:p>
    <w:p w:rsidR="000D245E" w:rsidRPr="00392287" w:rsidRDefault="00842A5B" w:rsidP="00181503">
      <w:pPr>
        <w:tabs>
          <w:tab w:val="center" w:pos="4441"/>
          <w:tab w:val="left" w:pos="7660"/>
        </w:tabs>
        <w:spacing w:before="120" w:after="100" w:afterAutospacing="1"/>
        <w:jc w:val="both"/>
        <w:rPr>
          <w:b/>
          <w:bCs/>
          <w:lang w:val="nl-NL"/>
        </w:rPr>
      </w:pPr>
      <w:r>
        <w:rPr>
          <w:b/>
          <w:bCs/>
          <w:lang w:val="nl-NL"/>
        </w:rPr>
        <w:t xml:space="preserve">          </w:t>
      </w:r>
      <w:r w:rsidR="00CB2EA6">
        <w:rPr>
          <w:b/>
          <w:bCs/>
          <w:lang w:val="nl-NL"/>
        </w:rPr>
        <w:t xml:space="preserve"> </w:t>
      </w:r>
      <w:r w:rsidR="00A7309E" w:rsidRPr="00392287">
        <w:rPr>
          <w:b/>
          <w:bCs/>
          <w:lang w:val="nl-NL"/>
        </w:rPr>
        <w:t xml:space="preserve">Điều </w:t>
      </w:r>
      <w:r w:rsidR="00066182" w:rsidRPr="00392287">
        <w:rPr>
          <w:b/>
          <w:bCs/>
          <w:lang w:val="nl-NL"/>
        </w:rPr>
        <w:t>8</w:t>
      </w:r>
      <w:r w:rsidR="000D245E" w:rsidRPr="00392287">
        <w:rPr>
          <w:b/>
          <w:bCs/>
          <w:lang w:val="nl-NL"/>
        </w:rPr>
        <w:t xml:space="preserve">. </w:t>
      </w:r>
      <w:r w:rsidR="004451DA">
        <w:rPr>
          <w:b/>
          <w:bCs/>
          <w:lang w:val="nl-NL"/>
        </w:rPr>
        <w:t xml:space="preserve">Quy định </w:t>
      </w:r>
      <w:r w:rsidR="00B85D9F">
        <w:rPr>
          <w:b/>
          <w:bCs/>
          <w:lang w:val="nl-NL"/>
        </w:rPr>
        <w:t xml:space="preserve">chung </w:t>
      </w:r>
      <w:r w:rsidR="004451DA">
        <w:rPr>
          <w:b/>
          <w:bCs/>
          <w:lang w:val="nl-NL"/>
        </w:rPr>
        <w:t xml:space="preserve">về </w:t>
      </w:r>
      <w:r w:rsidR="00952705">
        <w:rPr>
          <w:b/>
          <w:bCs/>
          <w:lang w:val="nl-NL"/>
        </w:rPr>
        <w:t>g</w:t>
      </w:r>
      <w:r w:rsidR="000D245E" w:rsidRPr="00392287">
        <w:rPr>
          <w:b/>
          <w:bCs/>
          <w:lang w:val="nl-NL"/>
        </w:rPr>
        <w:t xml:space="preserve">iao dịch chứng khoán </w:t>
      </w:r>
    </w:p>
    <w:p w:rsidR="000D245E" w:rsidRPr="00003948" w:rsidRDefault="00F779D9" w:rsidP="00181503">
      <w:pPr>
        <w:tabs>
          <w:tab w:val="center" w:pos="4441"/>
          <w:tab w:val="left" w:pos="7660"/>
        </w:tabs>
        <w:spacing w:before="120" w:after="100" w:afterAutospacing="1"/>
        <w:ind w:firstLine="560"/>
        <w:jc w:val="both"/>
        <w:rPr>
          <w:lang w:val="nl-NL"/>
        </w:rPr>
      </w:pPr>
      <w:r w:rsidRPr="00003948">
        <w:rPr>
          <w:lang w:val="nl-NL"/>
        </w:rPr>
        <w:lastRenderedPageBreak/>
        <w:t xml:space="preserve"> </w:t>
      </w:r>
      <w:r w:rsidR="00826C87">
        <w:rPr>
          <w:lang w:val="nl-NL"/>
        </w:rPr>
        <w:t xml:space="preserve"> </w:t>
      </w:r>
      <w:r w:rsidRPr="00003948">
        <w:rPr>
          <w:lang w:val="nl-NL"/>
        </w:rPr>
        <w:t xml:space="preserve"> </w:t>
      </w:r>
      <w:r w:rsidR="00CB2EA6">
        <w:rPr>
          <w:lang w:val="nl-NL"/>
        </w:rPr>
        <w:t xml:space="preserve"> </w:t>
      </w:r>
      <w:r w:rsidR="000D245E" w:rsidRPr="00003948">
        <w:rPr>
          <w:lang w:val="nl-NL"/>
        </w:rPr>
        <w:t>1</w:t>
      </w:r>
      <w:r w:rsidR="00D63AA4" w:rsidRPr="00003948">
        <w:rPr>
          <w:lang w:val="nl-NL"/>
        </w:rPr>
        <w:t>.</w:t>
      </w:r>
      <w:r w:rsidR="000D245E" w:rsidRPr="00003948">
        <w:rPr>
          <w:lang w:val="nl-NL"/>
        </w:rPr>
        <w:t xml:space="preserve"> </w:t>
      </w:r>
      <w:r w:rsidR="003C02CD">
        <w:rPr>
          <w:lang w:val="nl-NL"/>
        </w:rPr>
        <w:t>Nhà đầu tư được mua chứng khoán khi đã ký quỹ đủ tiền và</w:t>
      </w:r>
      <w:r w:rsidR="00F56FE7">
        <w:rPr>
          <w:lang w:val="nl-NL"/>
        </w:rPr>
        <w:t xml:space="preserve"> </w:t>
      </w:r>
      <w:r w:rsidR="000D245E" w:rsidRPr="00003948">
        <w:rPr>
          <w:lang w:val="nl-NL"/>
        </w:rPr>
        <w:t>được</w:t>
      </w:r>
      <w:r w:rsidR="00330015">
        <w:rPr>
          <w:lang w:val="nl-NL"/>
        </w:rPr>
        <w:t xml:space="preserve"> </w:t>
      </w:r>
      <w:r w:rsidR="00C75118">
        <w:rPr>
          <w:lang w:val="nl-NL"/>
        </w:rPr>
        <w:t xml:space="preserve">đặt lệnh </w:t>
      </w:r>
      <w:r w:rsidR="00330015">
        <w:rPr>
          <w:lang w:val="nl-NL"/>
        </w:rPr>
        <w:t>bán</w:t>
      </w:r>
      <w:r w:rsidR="000D245E" w:rsidRPr="00003948">
        <w:rPr>
          <w:lang w:val="nl-NL"/>
        </w:rPr>
        <w:t xml:space="preserve"> </w:t>
      </w:r>
      <w:r w:rsidR="003609DD" w:rsidRPr="00003948">
        <w:rPr>
          <w:lang w:val="nl-NL"/>
        </w:rPr>
        <w:t>khi</w:t>
      </w:r>
      <w:r w:rsidR="00800CC0" w:rsidRPr="00003948">
        <w:rPr>
          <w:lang w:val="nl-NL"/>
        </w:rPr>
        <w:t xml:space="preserve"> đáp ứng các điều kiện sau</w:t>
      </w:r>
      <w:r w:rsidR="003609DD" w:rsidRPr="00003948">
        <w:rPr>
          <w:lang w:val="nl-NL"/>
        </w:rPr>
        <w:t>:</w:t>
      </w:r>
    </w:p>
    <w:p w:rsidR="009E39DB" w:rsidRPr="00003948" w:rsidRDefault="00F779D9" w:rsidP="00181503">
      <w:pPr>
        <w:tabs>
          <w:tab w:val="center" w:pos="4441"/>
          <w:tab w:val="left" w:pos="7660"/>
        </w:tabs>
        <w:spacing w:before="120" w:after="100" w:afterAutospacing="1"/>
        <w:ind w:firstLine="560"/>
        <w:jc w:val="both"/>
        <w:rPr>
          <w:lang w:val="nl-NL"/>
        </w:rPr>
      </w:pPr>
      <w:r w:rsidRPr="00003948">
        <w:rPr>
          <w:lang w:val="nl-NL"/>
        </w:rPr>
        <w:t xml:space="preserve">  </w:t>
      </w:r>
      <w:r w:rsidR="00CB2EA6">
        <w:rPr>
          <w:lang w:val="nl-NL"/>
        </w:rPr>
        <w:t xml:space="preserve"> </w:t>
      </w:r>
      <w:r w:rsidRPr="00003948">
        <w:rPr>
          <w:lang w:val="nl-NL"/>
        </w:rPr>
        <w:t xml:space="preserve"> </w:t>
      </w:r>
      <w:r w:rsidR="001820EC">
        <w:rPr>
          <w:lang w:val="nl-NL"/>
        </w:rPr>
        <w:t>a)</w:t>
      </w:r>
      <w:r w:rsidR="000D245E" w:rsidRPr="00003948">
        <w:rPr>
          <w:lang w:val="nl-NL"/>
        </w:rPr>
        <w:t xml:space="preserve"> </w:t>
      </w:r>
      <w:r w:rsidR="001820EC">
        <w:rPr>
          <w:lang w:val="nl-NL"/>
        </w:rPr>
        <w:t>C</w:t>
      </w:r>
      <w:r w:rsidR="00EE06C4">
        <w:rPr>
          <w:lang w:val="nl-NL"/>
        </w:rPr>
        <w:t xml:space="preserve">ó </w:t>
      </w:r>
      <w:r w:rsidR="00D7172E">
        <w:rPr>
          <w:lang w:val="nl-NL"/>
        </w:rPr>
        <w:t>đủ</w:t>
      </w:r>
      <w:r w:rsidR="00EE06C4">
        <w:rPr>
          <w:lang w:val="nl-NL"/>
        </w:rPr>
        <w:t xml:space="preserve"> khối lượng chứng khoán</w:t>
      </w:r>
      <w:r w:rsidR="00A665A5">
        <w:rPr>
          <w:lang w:val="nl-NL"/>
        </w:rPr>
        <w:t xml:space="preserve"> </w:t>
      </w:r>
      <w:r w:rsidR="009E39DB">
        <w:rPr>
          <w:lang w:val="nl-NL"/>
        </w:rPr>
        <w:t xml:space="preserve">để chuyển giao tại ngày thanh toán theo quy chế của TTLKCK. Số chứng khoán này bao gồm </w:t>
      </w:r>
      <w:r w:rsidR="00272FC6">
        <w:rPr>
          <w:lang w:val="nl-NL"/>
        </w:rPr>
        <w:t>c</w:t>
      </w:r>
      <w:r w:rsidR="009E39DB">
        <w:rPr>
          <w:lang w:val="nl-NL"/>
        </w:rPr>
        <w:t xml:space="preserve">hứng khoán đã có sẵn trên tài khoản </w:t>
      </w:r>
      <w:r w:rsidR="00272FC6">
        <w:rPr>
          <w:lang w:val="nl-NL"/>
        </w:rPr>
        <w:t xml:space="preserve">lưu ký </w:t>
      </w:r>
      <w:r w:rsidR="009E39DB">
        <w:rPr>
          <w:lang w:val="nl-NL"/>
        </w:rPr>
        <w:t>củ</w:t>
      </w:r>
      <w:r w:rsidR="00272FC6">
        <w:rPr>
          <w:lang w:val="nl-NL"/>
        </w:rPr>
        <w:t>a nhà đầu tư tại ngày giao dịch và</w:t>
      </w:r>
      <w:r w:rsidR="00BD2BC7">
        <w:rPr>
          <w:lang w:val="nl-NL"/>
        </w:rPr>
        <w:t xml:space="preserve">  </w:t>
      </w:r>
      <w:r w:rsidR="00272FC6">
        <w:rPr>
          <w:lang w:val="nl-NL"/>
        </w:rPr>
        <w:t>c</w:t>
      </w:r>
      <w:r w:rsidR="009E39DB">
        <w:rPr>
          <w:lang w:val="nl-NL"/>
        </w:rPr>
        <w:t xml:space="preserve">hứng khoán </w:t>
      </w:r>
      <w:r w:rsidR="00272FC6">
        <w:rPr>
          <w:lang w:val="nl-NL"/>
        </w:rPr>
        <w:t xml:space="preserve">mà nhà đầu tư </w:t>
      </w:r>
      <w:r w:rsidR="009E39DB">
        <w:rPr>
          <w:lang w:val="nl-NL"/>
        </w:rPr>
        <w:t>nhận được trước hoặc vào ngày thanh toán (chứng khoán chờ về).</w:t>
      </w:r>
    </w:p>
    <w:p w:rsidR="00CE1B34" w:rsidRDefault="00F779D9" w:rsidP="00181503">
      <w:pPr>
        <w:tabs>
          <w:tab w:val="center" w:pos="4441"/>
          <w:tab w:val="left" w:pos="7660"/>
        </w:tabs>
        <w:spacing w:before="120" w:after="100" w:afterAutospacing="1"/>
        <w:ind w:firstLine="560"/>
        <w:jc w:val="both"/>
        <w:rPr>
          <w:lang w:val="nl-NL"/>
        </w:rPr>
      </w:pPr>
      <w:r w:rsidRPr="00003948">
        <w:rPr>
          <w:lang w:val="nl-NL"/>
        </w:rPr>
        <w:t xml:space="preserve">  </w:t>
      </w:r>
      <w:r w:rsidR="000B0C82">
        <w:rPr>
          <w:lang w:val="nl-NL"/>
        </w:rPr>
        <w:t xml:space="preserve"> </w:t>
      </w:r>
      <w:r w:rsidRPr="00003948">
        <w:rPr>
          <w:lang w:val="nl-NL"/>
        </w:rPr>
        <w:t xml:space="preserve"> </w:t>
      </w:r>
      <w:r w:rsidR="00383F3A">
        <w:rPr>
          <w:lang w:val="nl-NL"/>
        </w:rPr>
        <w:t xml:space="preserve"> </w:t>
      </w:r>
      <w:r w:rsidR="005F542E">
        <w:rPr>
          <w:lang w:val="nl-NL"/>
        </w:rPr>
        <w:t>b)</w:t>
      </w:r>
      <w:r w:rsidR="00C4474D" w:rsidRPr="00003948">
        <w:rPr>
          <w:lang w:val="nl-NL"/>
        </w:rPr>
        <w:t xml:space="preserve"> </w:t>
      </w:r>
      <w:r w:rsidR="0005706B" w:rsidRPr="00003948">
        <w:rPr>
          <w:lang w:val="nl-NL"/>
        </w:rPr>
        <w:t xml:space="preserve">Công ty chứng khoán, </w:t>
      </w:r>
      <w:r w:rsidR="005F542E">
        <w:rPr>
          <w:lang w:val="nl-NL"/>
        </w:rPr>
        <w:t>thành viên</w:t>
      </w:r>
      <w:r w:rsidR="0005706B" w:rsidRPr="00003948">
        <w:rPr>
          <w:lang w:val="nl-NL"/>
        </w:rPr>
        <w:t xml:space="preserve"> lưu ký chịu trách nhiệm kiểm tra</w:t>
      </w:r>
      <w:r w:rsidR="008425C7" w:rsidRPr="00003948">
        <w:rPr>
          <w:lang w:val="nl-NL"/>
        </w:rPr>
        <w:t>, đối chiếu về yêu cầu ký quỹ giao dịch,</w:t>
      </w:r>
      <w:r w:rsidR="0005706B" w:rsidRPr="00003948">
        <w:rPr>
          <w:lang w:val="nl-NL"/>
        </w:rPr>
        <w:t xml:space="preserve"> tính hợp lệ của l</w:t>
      </w:r>
      <w:r w:rsidR="00CE1B34" w:rsidRPr="00003948">
        <w:rPr>
          <w:lang w:val="nl-NL"/>
        </w:rPr>
        <w:t xml:space="preserve">ệnh </w:t>
      </w:r>
      <w:r w:rsidR="00272FC6">
        <w:rPr>
          <w:lang w:val="nl-NL"/>
        </w:rPr>
        <w:t xml:space="preserve">giao dịch </w:t>
      </w:r>
      <w:r w:rsidR="00CE1B34" w:rsidRPr="00003948">
        <w:rPr>
          <w:lang w:val="nl-NL"/>
        </w:rPr>
        <w:t>của nhà đầu tư.</w:t>
      </w:r>
    </w:p>
    <w:p w:rsidR="00272FC6" w:rsidRDefault="004107E1" w:rsidP="00181503">
      <w:pPr>
        <w:tabs>
          <w:tab w:val="center" w:pos="4441"/>
          <w:tab w:val="left" w:pos="7660"/>
        </w:tabs>
        <w:spacing w:before="120" w:after="100" w:afterAutospacing="1"/>
        <w:ind w:firstLine="560"/>
        <w:jc w:val="both"/>
        <w:rPr>
          <w:lang w:val="nl-NL"/>
        </w:rPr>
      </w:pPr>
      <w:r>
        <w:rPr>
          <w:lang w:val="nl-NL"/>
        </w:rPr>
        <w:t xml:space="preserve"> </w:t>
      </w:r>
      <w:r w:rsidR="00A31B06">
        <w:rPr>
          <w:lang w:val="nl-NL"/>
        </w:rPr>
        <w:t xml:space="preserve"> </w:t>
      </w:r>
      <w:r w:rsidR="00272FC6">
        <w:rPr>
          <w:lang w:val="nl-NL"/>
        </w:rPr>
        <w:t>2.  Quy định tại khoản 1 Điều này được áp dụng cho cả nhà đầu tư ở nước ngoài thực hiện giao dịch trên tài khoản tổng đứng tên công ty chứng khoán nước ngoài và đã có tài khoản lưu ký của mình</w:t>
      </w:r>
      <w:r w:rsidR="00A31B06">
        <w:rPr>
          <w:lang w:val="nl-NL"/>
        </w:rPr>
        <w:t xml:space="preserve"> được quản lý tách biệt theo quy định tại Điểm c Khoản 4 Điều 7 Thông tư này.</w:t>
      </w:r>
      <w:r>
        <w:rPr>
          <w:lang w:val="nl-NL"/>
        </w:rPr>
        <w:t xml:space="preserve"> </w:t>
      </w:r>
      <w:r w:rsidR="004C3B9D">
        <w:rPr>
          <w:lang w:val="nl-NL"/>
        </w:rPr>
        <w:t xml:space="preserve"> </w:t>
      </w:r>
      <w:r>
        <w:rPr>
          <w:lang w:val="nl-NL"/>
        </w:rPr>
        <w:t xml:space="preserve"> </w:t>
      </w:r>
    </w:p>
    <w:p w:rsidR="004A4F6A" w:rsidRPr="00003948" w:rsidRDefault="00272FC6" w:rsidP="00181503">
      <w:pPr>
        <w:tabs>
          <w:tab w:val="center" w:pos="4441"/>
          <w:tab w:val="left" w:pos="7660"/>
        </w:tabs>
        <w:spacing w:before="120" w:after="100" w:afterAutospacing="1"/>
        <w:ind w:firstLine="560"/>
        <w:jc w:val="both"/>
        <w:rPr>
          <w:lang w:val="nl-NL"/>
        </w:rPr>
      </w:pPr>
      <w:r>
        <w:rPr>
          <w:lang w:val="nl-NL"/>
        </w:rPr>
        <w:t xml:space="preserve"> </w:t>
      </w:r>
      <w:r w:rsidR="00A31B06">
        <w:rPr>
          <w:lang w:val="nl-NL"/>
        </w:rPr>
        <w:t xml:space="preserve"> 3</w:t>
      </w:r>
      <w:r w:rsidR="00D63AA4" w:rsidRPr="00003948">
        <w:rPr>
          <w:lang w:val="nl-NL"/>
        </w:rPr>
        <w:t>.</w:t>
      </w:r>
      <w:r w:rsidR="000D245E" w:rsidRPr="00003948">
        <w:rPr>
          <w:lang w:val="nl-NL"/>
        </w:rPr>
        <w:t xml:space="preserve"> Nhà đầu tư không được phép</w:t>
      </w:r>
      <w:r w:rsidR="00C430F1" w:rsidRPr="00003948">
        <w:rPr>
          <w:lang w:val="nl-NL"/>
        </w:rPr>
        <w:t xml:space="preserve"> </w:t>
      </w:r>
      <w:r w:rsidR="009F32DA" w:rsidRPr="00003948">
        <w:rPr>
          <w:lang w:val="nl-NL"/>
        </w:rPr>
        <w:t xml:space="preserve">đặt lệnh </w:t>
      </w:r>
      <w:r w:rsidR="000D245E" w:rsidRPr="00003948">
        <w:rPr>
          <w:lang w:val="nl-NL"/>
        </w:rPr>
        <w:t xml:space="preserve">giao dịch </w:t>
      </w:r>
      <w:r w:rsidR="00210D05">
        <w:rPr>
          <w:lang w:val="nl-NL"/>
        </w:rPr>
        <w:t>vừa mua vừa bán</w:t>
      </w:r>
      <w:r w:rsidR="00974E9B" w:rsidRPr="00003948">
        <w:rPr>
          <w:lang w:val="nl-NL"/>
        </w:rPr>
        <w:t xml:space="preserve"> </w:t>
      </w:r>
      <w:r w:rsidR="00804B4B">
        <w:rPr>
          <w:lang w:val="nl-NL"/>
        </w:rPr>
        <w:t xml:space="preserve">đồng thời </w:t>
      </w:r>
      <w:r w:rsidR="00974E9B" w:rsidRPr="00003948">
        <w:rPr>
          <w:lang w:val="nl-NL"/>
        </w:rPr>
        <w:t xml:space="preserve">cùng một loại chứng khoán trong </w:t>
      </w:r>
      <w:r w:rsidR="00643415" w:rsidRPr="00003948">
        <w:rPr>
          <w:lang w:val="nl-NL"/>
        </w:rPr>
        <w:t xml:space="preserve">cùng một </w:t>
      </w:r>
      <w:r w:rsidR="00974E9B" w:rsidRPr="00003948">
        <w:rPr>
          <w:lang w:val="nl-NL"/>
        </w:rPr>
        <w:t>đợt khớp lệnh định kỳ xác định giá mở/đóng cửa tại SGDCK</w:t>
      </w:r>
      <w:r w:rsidR="00FC3D52" w:rsidRPr="00003948">
        <w:rPr>
          <w:lang w:val="nl-NL"/>
        </w:rPr>
        <w:t>.</w:t>
      </w:r>
    </w:p>
    <w:p w:rsidR="00E67327" w:rsidRDefault="00A2555F" w:rsidP="00181503">
      <w:pPr>
        <w:tabs>
          <w:tab w:val="center" w:pos="4441"/>
          <w:tab w:val="left" w:pos="7660"/>
        </w:tabs>
        <w:spacing w:before="120" w:after="100" w:afterAutospacing="1"/>
        <w:ind w:firstLine="560"/>
        <w:jc w:val="both"/>
        <w:rPr>
          <w:lang w:val="nl-NL"/>
        </w:rPr>
      </w:pPr>
      <w:r>
        <w:rPr>
          <w:lang w:val="nl-NL"/>
        </w:rPr>
        <w:t xml:space="preserve">  </w:t>
      </w:r>
      <w:r w:rsidR="00BB7ABE">
        <w:rPr>
          <w:lang w:val="nl-NL"/>
        </w:rPr>
        <w:t xml:space="preserve"> </w:t>
      </w:r>
      <w:r w:rsidR="00A31B06">
        <w:rPr>
          <w:lang w:val="nl-NL"/>
        </w:rPr>
        <w:t>4</w:t>
      </w:r>
      <w:r w:rsidR="00C80A80" w:rsidRPr="00873F2E">
        <w:rPr>
          <w:lang w:val="nl-NL"/>
        </w:rPr>
        <w:t xml:space="preserve">. </w:t>
      </w:r>
      <w:r w:rsidR="003045B4" w:rsidRPr="00873F2E">
        <w:rPr>
          <w:lang w:val="nl-NL"/>
        </w:rPr>
        <w:t xml:space="preserve">Thành viên lập quỹ </w:t>
      </w:r>
      <w:r w:rsidR="00777596" w:rsidRPr="003445EE">
        <w:rPr>
          <w:lang w:val="nl-NL"/>
        </w:rPr>
        <w:t xml:space="preserve">ETF </w:t>
      </w:r>
      <w:r w:rsidR="00676DBA" w:rsidRPr="00873F2E">
        <w:rPr>
          <w:lang w:val="nl-NL"/>
        </w:rPr>
        <w:t xml:space="preserve">được </w:t>
      </w:r>
      <w:r w:rsidR="00804B4B">
        <w:rPr>
          <w:lang w:val="nl-NL"/>
        </w:rPr>
        <w:t xml:space="preserve">yết giá để </w:t>
      </w:r>
      <w:r w:rsidR="00676DBA" w:rsidRPr="00873F2E">
        <w:rPr>
          <w:lang w:val="nl-NL"/>
        </w:rPr>
        <w:t xml:space="preserve">thực hiện </w:t>
      </w:r>
      <w:r w:rsidR="00272FC6">
        <w:rPr>
          <w:lang w:val="nl-NL"/>
        </w:rPr>
        <w:t xml:space="preserve">các giao dịch </w:t>
      </w:r>
      <w:r w:rsidR="00676DBA" w:rsidRPr="00873F2E">
        <w:rPr>
          <w:lang w:val="nl-NL"/>
        </w:rPr>
        <w:t>mua</w:t>
      </w:r>
      <w:r w:rsidR="00272FC6">
        <w:rPr>
          <w:lang w:val="nl-NL"/>
        </w:rPr>
        <w:t>,</w:t>
      </w:r>
      <w:r w:rsidR="00676DBA" w:rsidRPr="00873F2E">
        <w:rPr>
          <w:lang w:val="nl-NL"/>
        </w:rPr>
        <w:t xml:space="preserve"> bán </w:t>
      </w:r>
      <w:r w:rsidR="00C51390">
        <w:rPr>
          <w:lang w:val="nl-NL"/>
        </w:rPr>
        <w:t>chứng chỉ quỹ ETF</w:t>
      </w:r>
      <w:r w:rsidR="00272FC6">
        <w:rPr>
          <w:lang w:val="nl-NL"/>
        </w:rPr>
        <w:t xml:space="preserve"> trong cùng phiên, và</w:t>
      </w:r>
      <w:r w:rsidR="004743DE">
        <w:rPr>
          <w:lang w:val="nl-NL"/>
        </w:rPr>
        <w:t xml:space="preserve"> </w:t>
      </w:r>
      <w:r w:rsidR="00272FC6">
        <w:rPr>
          <w:lang w:val="nl-NL"/>
        </w:rPr>
        <w:t>t</w:t>
      </w:r>
      <w:r w:rsidR="004743DE">
        <w:rPr>
          <w:lang w:val="nl-NL"/>
        </w:rPr>
        <w:t xml:space="preserve">hành viên tạo lập thị trường được </w:t>
      </w:r>
      <w:r w:rsidR="00804B4B">
        <w:rPr>
          <w:lang w:val="nl-NL"/>
        </w:rPr>
        <w:t xml:space="preserve">yết giá để </w:t>
      </w:r>
      <w:r w:rsidR="00272FC6">
        <w:rPr>
          <w:lang w:val="nl-NL"/>
        </w:rPr>
        <w:t>đồng thời</w:t>
      </w:r>
      <w:r w:rsidR="004743DE">
        <w:rPr>
          <w:lang w:val="nl-NL"/>
        </w:rPr>
        <w:t xml:space="preserve"> mua, bán loại chứng khoán mà thành viên đó được chỉ định là nhà tạo lập thị trường</w:t>
      </w:r>
      <w:r w:rsidR="00272FC6">
        <w:rPr>
          <w:lang w:val="nl-NL"/>
        </w:rPr>
        <w:t xml:space="preserve"> trong cùng phiên</w:t>
      </w:r>
      <w:r w:rsidR="004743DE">
        <w:rPr>
          <w:lang w:val="nl-NL"/>
        </w:rPr>
        <w:t>.</w:t>
      </w:r>
      <w:r w:rsidR="00272FC6">
        <w:rPr>
          <w:lang w:val="nl-NL"/>
        </w:rPr>
        <w:t xml:space="preserve"> Các giao dịch này phải được thực hiện trên tài khoản tạo lập thị trường.</w:t>
      </w:r>
    </w:p>
    <w:p w:rsidR="00BD61BB" w:rsidRDefault="00E67327" w:rsidP="00181503">
      <w:pPr>
        <w:tabs>
          <w:tab w:val="center" w:pos="4441"/>
          <w:tab w:val="left" w:pos="7660"/>
        </w:tabs>
        <w:spacing w:before="120" w:after="100" w:afterAutospacing="1"/>
        <w:ind w:firstLine="560"/>
        <w:jc w:val="both"/>
        <w:rPr>
          <w:lang w:val="nl-NL"/>
        </w:rPr>
      </w:pPr>
      <w:r>
        <w:rPr>
          <w:lang w:val="nl-NL"/>
        </w:rPr>
        <w:t xml:space="preserve">  </w:t>
      </w:r>
      <w:r w:rsidR="00804B4B">
        <w:rPr>
          <w:lang w:val="nl-NL"/>
        </w:rPr>
        <w:t>5</w:t>
      </w:r>
      <w:r w:rsidR="003A2D6A" w:rsidRPr="001C0EE0">
        <w:rPr>
          <w:lang w:val="nl-NL"/>
        </w:rPr>
        <w:t>. Các SGDCK, TTLKCK</w:t>
      </w:r>
      <w:r w:rsidR="00804B4B">
        <w:rPr>
          <w:lang w:val="nl-NL"/>
        </w:rPr>
        <w:t>, thành viên lưu ký</w:t>
      </w:r>
      <w:r w:rsidR="003A2D6A" w:rsidRPr="001C0EE0">
        <w:rPr>
          <w:lang w:val="nl-NL"/>
        </w:rPr>
        <w:t xml:space="preserve"> </w:t>
      </w:r>
      <w:r w:rsidR="00B77022">
        <w:rPr>
          <w:lang w:val="nl-NL"/>
        </w:rPr>
        <w:t>chịu trách nhiệm</w:t>
      </w:r>
      <w:r w:rsidR="003A2D6A" w:rsidRPr="001C0EE0">
        <w:rPr>
          <w:lang w:val="nl-NL"/>
        </w:rPr>
        <w:t xml:space="preserve"> kiểm tra, giám sát các hoạt động giao dịch trên tài khoản </w:t>
      </w:r>
      <w:r w:rsidR="00804B4B">
        <w:rPr>
          <w:lang w:val="nl-NL"/>
        </w:rPr>
        <w:t>t</w:t>
      </w:r>
      <w:r w:rsidR="003A2D6A" w:rsidRPr="001C0EE0">
        <w:rPr>
          <w:lang w:val="nl-NL"/>
        </w:rPr>
        <w:t>ổng, tài khoản quản lý danh mục ủy thác của các công ty chứng khoán, công ty quản lý quỹ</w:t>
      </w:r>
      <w:r w:rsidR="00AF1BF1" w:rsidRPr="001C0EE0">
        <w:rPr>
          <w:lang w:val="nl-NL"/>
        </w:rPr>
        <w:t xml:space="preserve">, </w:t>
      </w:r>
      <w:r w:rsidR="002841A2" w:rsidRPr="001C0EE0">
        <w:rPr>
          <w:lang w:val="nl-NL"/>
        </w:rPr>
        <w:t>tài khoản giao dịch tạo lập thị trường</w:t>
      </w:r>
      <w:r w:rsidR="003A2D6A" w:rsidRPr="001C0EE0">
        <w:rPr>
          <w:lang w:val="nl-NL"/>
        </w:rPr>
        <w:t>.</w:t>
      </w:r>
      <w:r w:rsidR="00CA2A3B">
        <w:rPr>
          <w:lang w:val="nl-NL"/>
        </w:rPr>
        <w:t xml:space="preserve"> </w:t>
      </w:r>
    </w:p>
    <w:p w:rsidR="008E75EB" w:rsidRPr="000E6671" w:rsidRDefault="00EB30E0" w:rsidP="00181503">
      <w:pPr>
        <w:tabs>
          <w:tab w:val="center" w:pos="4441"/>
          <w:tab w:val="left" w:pos="7660"/>
        </w:tabs>
        <w:spacing w:before="120" w:after="100" w:afterAutospacing="1"/>
        <w:ind w:firstLine="560"/>
        <w:jc w:val="both"/>
        <w:rPr>
          <w:b/>
          <w:bCs/>
          <w:lang w:val="nl-NL"/>
        </w:rPr>
      </w:pPr>
      <w:r>
        <w:rPr>
          <w:b/>
          <w:bCs/>
          <w:lang w:val="nl-NL"/>
        </w:rPr>
        <w:t xml:space="preserve">    </w:t>
      </w:r>
      <w:r w:rsidR="008E75EB">
        <w:rPr>
          <w:b/>
          <w:bCs/>
          <w:lang w:val="nl-NL"/>
        </w:rPr>
        <w:t>Điều 9</w:t>
      </w:r>
      <w:r w:rsidR="008E75EB" w:rsidRPr="000E6671">
        <w:rPr>
          <w:b/>
          <w:bCs/>
          <w:lang w:val="nl-NL"/>
        </w:rPr>
        <w:t>. Giao dịch cổ phiếu quỹ</w:t>
      </w:r>
    </w:p>
    <w:p w:rsidR="008E75EB" w:rsidRPr="000E6671" w:rsidRDefault="008E75EB" w:rsidP="00181503">
      <w:pPr>
        <w:tabs>
          <w:tab w:val="center" w:pos="4441"/>
          <w:tab w:val="left" w:pos="7660"/>
        </w:tabs>
        <w:spacing w:before="120" w:after="100" w:afterAutospacing="1"/>
        <w:ind w:firstLine="560"/>
        <w:jc w:val="both"/>
        <w:rPr>
          <w:lang w:val="nl-NL"/>
        </w:rPr>
      </w:pPr>
      <w:r>
        <w:rPr>
          <w:lang w:val="nl-NL"/>
        </w:rPr>
        <w:t xml:space="preserve">    </w:t>
      </w:r>
      <w:r w:rsidRPr="000E6671">
        <w:rPr>
          <w:lang w:val="nl-NL"/>
        </w:rPr>
        <w:t xml:space="preserve">1. </w:t>
      </w:r>
      <w:r>
        <w:rPr>
          <w:lang w:val="nl-NL"/>
        </w:rPr>
        <w:t xml:space="preserve">Tổ chức </w:t>
      </w:r>
      <w:r w:rsidR="00804B4B">
        <w:rPr>
          <w:lang w:val="nl-NL"/>
        </w:rPr>
        <w:t xml:space="preserve">phát hành </w:t>
      </w:r>
      <w:r>
        <w:rPr>
          <w:lang w:val="nl-NL"/>
        </w:rPr>
        <w:t>mua lại cổ phiếu, bán cổ phiếu quỹ</w:t>
      </w:r>
      <w:r w:rsidRPr="000E6671">
        <w:rPr>
          <w:lang w:val="nl-NL"/>
        </w:rPr>
        <w:t xml:space="preserve"> trên SGDCK theo quy định</w:t>
      </w:r>
      <w:r>
        <w:rPr>
          <w:lang w:val="nl-NL"/>
        </w:rPr>
        <w:t xml:space="preserve"> của pháp luật</w:t>
      </w:r>
      <w:r w:rsidR="00804B4B">
        <w:rPr>
          <w:lang w:val="nl-NL"/>
        </w:rPr>
        <w:t xml:space="preserve"> và quy chế của</w:t>
      </w:r>
      <w:r>
        <w:rPr>
          <w:lang w:val="nl-NL"/>
        </w:rPr>
        <w:t xml:space="preserve"> </w:t>
      </w:r>
      <w:r w:rsidRPr="000E6671">
        <w:rPr>
          <w:lang w:val="nl-NL"/>
        </w:rPr>
        <w:t>SGDCK</w:t>
      </w:r>
      <w:r w:rsidR="00804B4B">
        <w:rPr>
          <w:lang w:val="nl-NL"/>
        </w:rPr>
        <w:t>. SGDCK có trách nhiệm xây dựng</w:t>
      </w:r>
      <w:r>
        <w:rPr>
          <w:lang w:val="nl-NL"/>
        </w:rPr>
        <w:t xml:space="preserve"> Quy chế hướng dẫn về giao dịch cổ phiếu quỹ </w:t>
      </w:r>
      <w:r w:rsidR="00804B4B">
        <w:rPr>
          <w:lang w:val="nl-NL"/>
        </w:rPr>
        <w:t xml:space="preserve">và ban hành </w:t>
      </w:r>
      <w:r>
        <w:rPr>
          <w:lang w:val="nl-NL"/>
        </w:rPr>
        <w:t>sau khi được</w:t>
      </w:r>
      <w:r w:rsidRPr="000E6671">
        <w:rPr>
          <w:lang w:val="nl-NL"/>
        </w:rPr>
        <w:t xml:space="preserve"> UBCKNN chấp thuận. </w:t>
      </w:r>
    </w:p>
    <w:p w:rsidR="008E75EB" w:rsidRDefault="008E75EB" w:rsidP="00181503">
      <w:pPr>
        <w:tabs>
          <w:tab w:val="center" w:pos="4441"/>
          <w:tab w:val="left" w:pos="7660"/>
        </w:tabs>
        <w:spacing w:before="120" w:after="100" w:afterAutospacing="1"/>
        <w:ind w:firstLine="560"/>
        <w:jc w:val="both"/>
        <w:rPr>
          <w:lang w:val="nl-NL"/>
        </w:rPr>
      </w:pPr>
      <w:r w:rsidRPr="0049370B">
        <w:rPr>
          <w:lang w:val="nl-NL"/>
        </w:rPr>
        <w:t xml:space="preserve">   </w:t>
      </w:r>
      <w:r>
        <w:rPr>
          <w:lang w:val="nl-NL"/>
        </w:rPr>
        <w:t xml:space="preserve">  2</w:t>
      </w:r>
      <w:r w:rsidRPr="000E6671">
        <w:rPr>
          <w:lang w:val="nl-NL"/>
        </w:rPr>
        <w:t xml:space="preserve"> </w:t>
      </w:r>
      <w:r>
        <w:rPr>
          <w:lang w:val="nl-NL"/>
        </w:rPr>
        <w:t xml:space="preserve"> Nghiêm cấm tổ chức </w:t>
      </w:r>
      <w:r w:rsidR="00804B4B">
        <w:rPr>
          <w:lang w:val="nl-NL"/>
        </w:rPr>
        <w:t xml:space="preserve">phát hành </w:t>
      </w:r>
      <w:r>
        <w:rPr>
          <w:lang w:val="nl-NL"/>
        </w:rPr>
        <w:t xml:space="preserve">công bố thông tin </w:t>
      </w:r>
      <w:r w:rsidR="00804B4B">
        <w:rPr>
          <w:lang w:val="nl-NL"/>
        </w:rPr>
        <w:t xml:space="preserve">về các </w:t>
      </w:r>
      <w:r>
        <w:rPr>
          <w:lang w:val="nl-NL"/>
        </w:rPr>
        <w:t>giao dịch mua lại cổ phiếu, bán cổ phiếu quỹ nhưng không thực hiện đặt lệnh giao dịch trong thời gian đăng ký giao d</w:t>
      </w:r>
      <w:r w:rsidR="00A62BAD">
        <w:rPr>
          <w:lang w:val="nl-NL"/>
        </w:rPr>
        <w:t>ịch cổ phiếu quỹ; hoặc đặt lệnh giao dịch với các mức giá nằm ngoài biên độ dao động giá trong thời gian đăng ký giao dịch cổ phiếu quỹ. Nghiêm cấm các tổ chức phát hành công bố thông tin về các mức giá dự kiến thực hiện khi giao dịch cổ phiếu quỹ.</w:t>
      </w:r>
    </w:p>
    <w:p w:rsidR="008E75EB" w:rsidRPr="00A62BAD" w:rsidRDefault="008E75EB" w:rsidP="00181503">
      <w:pPr>
        <w:tabs>
          <w:tab w:val="center" w:pos="4441"/>
          <w:tab w:val="left" w:pos="7660"/>
        </w:tabs>
        <w:spacing w:before="120" w:after="100" w:afterAutospacing="1"/>
        <w:ind w:firstLine="560"/>
        <w:jc w:val="both"/>
        <w:rPr>
          <w:lang w:val="nl-NL"/>
        </w:rPr>
      </w:pPr>
      <w:r>
        <w:rPr>
          <w:lang w:val="nl-NL"/>
        </w:rPr>
        <w:lastRenderedPageBreak/>
        <w:t xml:space="preserve">   </w:t>
      </w:r>
      <w:r w:rsidR="00E20BBF">
        <w:rPr>
          <w:lang w:val="nl-NL"/>
        </w:rPr>
        <w:t xml:space="preserve">  </w:t>
      </w:r>
      <w:r>
        <w:rPr>
          <w:lang w:val="nl-NL"/>
        </w:rPr>
        <w:t xml:space="preserve">3. Tổ chức </w:t>
      </w:r>
      <w:r w:rsidR="00A62BAD">
        <w:rPr>
          <w:lang w:val="nl-NL"/>
        </w:rPr>
        <w:t>phát hành</w:t>
      </w:r>
      <w:r>
        <w:rPr>
          <w:lang w:val="nl-NL"/>
        </w:rPr>
        <w:t xml:space="preserve"> được mua lại cổ phiếu lô lẻ của nhà đầu tư để làm cổ phiếu quỹ. Tổ chức </w:t>
      </w:r>
      <w:r w:rsidR="003C02CD">
        <w:rPr>
          <w:lang w:val="nl-NL"/>
        </w:rPr>
        <w:t>phát hành</w:t>
      </w:r>
      <w:r>
        <w:rPr>
          <w:lang w:val="nl-NL"/>
        </w:rPr>
        <w:t xml:space="preserve"> mua lại cổ phiếu lô lẻ phải đảm bảo nguồn vốn mua lại cổ phiếu quỹ theo quy định của pháp luật và không phải hạn chế thời hạn bán ra cổ phiếu lô lẻ đã mua làm cổ phiếu quỹ.</w:t>
      </w:r>
      <w:r w:rsidR="00A62BAD">
        <w:rPr>
          <w:lang w:val="nl-NL"/>
        </w:rPr>
        <w:t xml:space="preserve"> Việc </w:t>
      </w:r>
      <w:r w:rsidRPr="003445EE">
        <w:rPr>
          <w:lang w:val="nl-NL"/>
        </w:rPr>
        <w:t xml:space="preserve">mua chứng khoán lô lẻ </w:t>
      </w:r>
      <w:r w:rsidR="00A62BAD">
        <w:rPr>
          <w:lang w:val="nl-NL"/>
        </w:rPr>
        <w:t xml:space="preserve">thực hiện </w:t>
      </w:r>
      <w:r w:rsidRPr="003445EE">
        <w:rPr>
          <w:lang w:val="nl-NL"/>
        </w:rPr>
        <w:t>thông qua công ty chứng khoán (trường hợp giao dịch trên SGDCK) hoặc thông qua hệ thống chuyển nhượng tại TTLKCK.</w:t>
      </w:r>
      <w:r w:rsidRPr="00412DD6">
        <w:rPr>
          <w:b/>
          <w:bCs/>
          <w:lang w:val="nl-NL"/>
        </w:rPr>
        <w:t xml:space="preserve">       </w:t>
      </w:r>
      <w:r>
        <w:rPr>
          <w:b/>
          <w:bCs/>
          <w:lang w:val="nl-NL"/>
        </w:rPr>
        <w:t xml:space="preserve">  </w:t>
      </w:r>
    </w:p>
    <w:p w:rsidR="008E75EB" w:rsidRDefault="008E75EB" w:rsidP="00181503">
      <w:pPr>
        <w:tabs>
          <w:tab w:val="center" w:pos="4441"/>
          <w:tab w:val="left" w:pos="7660"/>
        </w:tabs>
        <w:spacing w:before="120" w:after="100" w:afterAutospacing="1"/>
        <w:ind w:firstLine="560"/>
        <w:jc w:val="both"/>
        <w:rPr>
          <w:b/>
          <w:bCs/>
          <w:lang w:val="nl-NL"/>
        </w:rPr>
      </w:pPr>
      <w:r>
        <w:rPr>
          <w:b/>
          <w:bCs/>
          <w:lang w:val="nl-NL"/>
        </w:rPr>
        <w:t xml:space="preserve">   Điều </w:t>
      </w:r>
      <w:r w:rsidR="0007079A">
        <w:rPr>
          <w:b/>
          <w:bCs/>
          <w:lang w:val="nl-NL"/>
        </w:rPr>
        <w:t>10</w:t>
      </w:r>
      <w:r w:rsidRPr="000E6671">
        <w:rPr>
          <w:b/>
          <w:bCs/>
          <w:lang w:val="nl-NL"/>
        </w:rPr>
        <w:t xml:space="preserve">. </w:t>
      </w:r>
      <w:r>
        <w:rPr>
          <w:b/>
          <w:bCs/>
          <w:lang w:val="nl-NL"/>
        </w:rPr>
        <w:t xml:space="preserve">Giao dịch </w:t>
      </w:r>
      <w:r w:rsidR="00B85D9F">
        <w:rPr>
          <w:b/>
          <w:bCs/>
          <w:lang w:val="nl-NL"/>
        </w:rPr>
        <w:t xml:space="preserve">vay mua </w:t>
      </w:r>
      <w:r>
        <w:rPr>
          <w:b/>
          <w:bCs/>
          <w:lang w:val="nl-NL"/>
        </w:rPr>
        <w:t>ký quỹ chứng khoán</w:t>
      </w:r>
    </w:p>
    <w:p w:rsidR="008E75EB" w:rsidRDefault="008E75EB" w:rsidP="00181503">
      <w:pPr>
        <w:tabs>
          <w:tab w:val="center" w:pos="4441"/>
          <w:tab w:val="left" w:pos="7660"/>
        </w:tabs>
        <w:spacing w:before="120" w:after="100" w:afterAutospacing="1"/>
        <w:ind w:firstLine="560"/>
        <w:jc w:val="both"/>
        <w:rPr>
          <w:bCs/>
          <w:lang w:val="nl-NL"/>
        </w:rPr>
      </w:pPr>
      <w:r>
        <w:rPr>
          <w:bCs/>
          <w:lang w:val="nl-NL"/>
        </w:rPr>
        <w:t xml:space="preserve">   </w:t>
      </w:r>
      <w:r w:rsidR="005C2E01">
        <w:rPr>
          <w:bCs/>
          <w:lang w:val="nl-NL"/>
        </w:rPr>
        <w:t xml:space="preserve"> </w:t>
      </w:r>
      <w:r>
        <w:rPr>
          <w:bCs/>
          <w:lang w:val="nl-NL"/>
        </w:rPr>
        <w:t xml:space="preserve">1. </w:t>
      </w:r>
      <w:r w:rsidRPr="006A178D">
        <w:rPr>
          <w:bCs/>
          <w:lang w:val="nl-NL"/>
        </w:rPr>
        <w:t xml:space="preserve">Công </w:t>
      </w:r>
      <w:r>
        <w:rPr>
          <w:bCs/>
          <w:lang w:val="nl-NL"/>
        </w:rPr>
        <w:t xml:space="preserve">ty chứng khoán </w:t>
      </w:r>
      <w:r w:rsidRPr="001F5EC9">
        <w:rPr>
          <w:bCs/>
          <w:lang w:val="nl-NL"/>
        </w:rPr>
        <w:t xml:space="preserve">được </w:t>
      </w:r>
      <w:r w:rsidR="00B85D9F">
        <w:rPr>
          <w:bCs/>
          <w:lang w:val="nl-NL"/>
        </w:rPr>
        <w:t xml:space="preserve">cung cấp dịch vụ cho vay mua </w:t>
      </w:r>
      <w:r w:rsidRPr="001F5EC9">
        <w:rPr>
          <w:bCs/>
          <w:lang w:val="nl-NL"/>
        </w:rPr>
        <w:t>ký quỹ</w:t>
      </w:r>
      <w:r w:rsidR="00B85D9F">
        <w:rPr>
          <w:bCs/>
          <w:lang w:val="nl-NL"/>
        </w:rPr>
        <w:t xml:space="preserve"> chứng khoán</w:t>
      </w:r>
      <w:r>
        <w:rPr>
          <w:bCs/>
          <w:lang w:val="nl-NL"/>
        </w:rPr>
        <w:t xml:space="preserve"> cho khách hàng</w:t>
      </w:r>
      <w:r w:rsidRPr="001F5EC9">
        <w:rPr>
          <w:bCs/>
          <w:lang w:val="nl-NL"/>
        </w:rPr>
        <w:t xml:space="preserve"> </w:t>
      </w:r>
      <w:r w:rsidR="00B85D9F">
        <w:rPr>
          <w:bCs/>
          <w:lang w:val="nl-NL"/>
        </w:rPr>
        <w:t xml:space="preserve">(giao dịch ký quỹ) </w:t>
      </w:r>
      <w:r w:rsidRPr="001F5EC9">
        <w:rPr>
          <w:bCs/>
          <w:lang w:val="nl-NL"/>
        </w:rPr>
        <w:t xml:space="preserve">sau khi </w:t>
      </w:r>
      <w:r>
        <w:rPr>
          <w:bCs/>
          <w:lang w:val="nl-NL"/>
        </w:rPr>
        <w:t xml:space="preserve">đã được </w:t>
      </w:r>
      <w:r w:rsidR="00A62BAD">
        <w:rPr>
          <w:bCs/>
          <w:lang w:val="nl-NL"/>
        </w:rPr>
        <w:t xml:space="preserve">UBCKNN </w:t>
      </w:r>
      <w:r>
        <w:rPr>
          <w:bCs/>
          <w:lang w:val="nl-NL"/>
        </w:rPr>
        <w:t>chấp thuận.</w:t>
      </w:r>
    </w:p>
    <w:p w:rsidR="008E75EB" w:rsidRDefault="008E75EB" w:rsidP="00181503">
      <w:pPr>
        <w:tabs>
          <w:tab w:val="center" w:pos="4441"/>
          <w:tab w:val="left" w:pos="7660"/>
        </w:tabs>
        <w:spacing w:before="120" w:after="100" w:afterAutospacing="1"/>
        <w:ind w:firstLine="560"/>
        <w:jc w:val="both"/>
        <w:rPr>
          <w:bCs/>
          <w:lang w:val="nl-NL"/>
        </w:rPr>
      </w:pPr>
      <w:r>
        <w:rPr>
          <w:bCs/>
          <w:lang w:val="nl-NL"/>
        </w:rPr>
        <w:t xml:space="preserve">   </w:t>
      </w:r>
      <w:r w:rsidR="005C2E01">
        <w:rPr>
          <w:bCs/>
          <w:lang w:val="nl-NL"/>
        </w:rPr>
        <w:t xml:space="preserve"> </w:t>
      </w:r>
      <w:r>
        <w:rPr>
          <w:bCs/>
          <w:lang w:val="nl-NL"/>
        </w:rPr>
        <w:t xml:space="preserve">2. </w:t>
      </w:r>
      <w:r w:rsidRPr="00390E80">
        <w:rPr>
          <w:bCs/>
          <w:lang w:val="nl-NL"/>
        </w:rPr>
        <w:t xml:space="preserve">Nhà đầu tư muốn thực hiện giao dịch ký quỹ phải </w:t>
      </w:r>
      <w:r w:rsidRPr="00A06416">
        <w:rPr>
          <w:bCs/>
          <w:lang w:val="nl-NL"/>
        </w:rPr>
        <w:t>ký hợp đồng</w:t>
      </w:r>
      <w:r w:rsidRPr="00390E80">
        <w:rPr>
          <w:bCs/>
          <w:lang w:val="nl-NL"/>
        </w:rPr>
        <w:t xml:space="preserve"> mở tài khoản giao dịch ký quỹ </w:t>
      </w:r>
      <w:r w:rsidRPr="00A06416">
        <w:rPr>
          <w:bCs/>
          <w:lang w:val="nl-NL"/>
        </w:rPr>
        <w:t>với</w:t>
      </w:r>
      <w:r w:rsidRPr="00390E80">
        <w:rPr>
          <w:bCs/>
          <w:lang w:val="nl-NL"/>
        </w:rPr>
        <w:t xml:space="preserve"> công ty chứng khoán nơi nhà đầu tư mở tài khoản giao dịch chứng khoán </w:t>
      </w:r>
      <w:r w:rsidRPr="00A06416">
        <w:rPr>
          <w:bCs/>
          <w:lang w:val="nl-NL"/>
        </w:rPr>
        <w:t>thông thường</w:t>
      </w:r>
      <w:r w:rsidRPr="00673795">
        <w:rPr>
          <w:bCs/>
          <w:lang w:val="nl-NL"/>
        </w:rPr>
        <w:t>. Tại mỗi công ty chứng khoán nơi nhà đầu tư mở tài khoản giao dịch, nhà đầu tư chỉ được phép mở một (01) tài khoản giao dịch ký quỹ. Công ty chứng khoán phải hạch toán tách biệt tài khoản giao dịch ký quỹ của nhà đầu tư với các tài khoản giao dịch khác.</w:t>
      </w:r>
      <w:r w:rsidRPr="008D01E0">
        <w:rPr>
          <w:bCs/>
          <w:lang w:val="nl-NL"/>
        </w:rPr>
        <w:t xml:space="preserve">Tài khoản giao dịch ký quỹ này </w:t>
      </w:r>
      <w:r w:rsidR="00181503">
        <w:rPr>
          <w:bCs/>
          <w:lang w:val="nl-NL"/>
        </w:rPr>
        <w:t xml:space="preserve">có thể </w:t>
      </w:r>
      <w:r w:rsidRPr="008D01E0">
        <w:rPr>
          <w:bCs/>
          <w:lang w:val="nl-NL"/>
        </w:rPr>
        <w:t xml:space="preserve">được </w:t>
      </w:r>
      <w:r>
        <w:rPr>
          <w:bCs/>
          <w:lang w:val="nl-NL"/>
        </w:rPr>
        <w:t>hạch toán</w:t>
      </w:r>
      <w:r w:rsidRPr="008D01E0">
        <w:rPr>
          <w:bCs/>
          <w:lang w:val="nl-NL"/>
        </w:rPr>
        <w:t xml:space="preserve"> dưới dạng tiểu khoản của tài khoản giao dịch thông thường</w:t>
      </w:r>
      <w:r w:rsidRPr="00673795">
        <w:rPr>
          <w:bCs/>
          <w:lang w:val="nl-NL"/>
        </w:rPr>
        <w:t>.</w:t>
      </w:r>
    </w:p>
    <w:p w:rsidR="008E75EB" w:rsidRDefault="008E75EB" w:rsidP="00181503">
      <w:pPr>
        <w:tabs>
          <w:tab w:val="center" w:pos="4441"/>
          <w:tab w:val="left" w:pos="7660"/>
        </w:tabs>
        <w:spacing w:before="120" w:after="100" w:afterAutospacing="1"/>
        <w:ind w:firstLine="560"/>
        <w:jc w:val="both"/>
        <w:rPr>
          <w:bCs/>
          <w:lang w:val="nl-NL"/>
        </w:rPr>
      </w:pPr>
      <w:r>
        <w:rPr>
          <w:bCs/>
          <w:lang w:val="nl-NL"/>
        </w:rPr>
        <w:t xml:space="preserve">   </w:t>
      </w:r>
      <w:r w:rsidR="000F4B09">
        <w:rPr>
          <w:bCs/>
          <w:lang w:val="nl-NL"/>
        </w:rPr>
        <w:t xml:space="preserve"> </w:t>
      </w:r>
      <w:r>
        <w:rPr>
          <w:bCs/>
          <w:lang w:val="nl-NL"/>
        </w:rPr>
        <w:t xml:space="preserve">3. Chứng khoán được phép giao dịch ký quỹ là cổ phiếu, chứng chỉ quỹ đầu tư  (bao gồm cả chứng chỉ quỹ ETF) đang niêm yết trên SGDCK </w:t>
      </w:r>
      <w:r w:rsidRPr="00FF3F3F">
        <w:rPr>
          <w:bCs/>
          <w:lang w:val="nl-NL"/>
        </w:rPr>
        <w:t>đáp ứng yêu cầu</w:t>
      </w:r>
      <w:r>
        <w:rPr>
          <w:bCs/>
          <w:lang w:val="nl-NL"/>
        </w:rPr>
        <w:t xml:space="preserve"> về chứng khoán được phép giao dịch ký quỹ theo quy định của UBCKNN. </w:t>
      </w:r>
      <w:r w:rsidRPr="00FF3F3F">
        <w:rPr>
          <w:bCs/>
          <w:lang w:val="nl-NL"/>
        </w:rPr>
        <w:t>Công ty chứng khoán có nghĩa vụ công bố công khai danh mục chứng khoán mà công ty thực hiện giao dịch ký quỹ.</w:t>
      </w:r>
    </w:p>
    <w:p w:rsidR="008E75EB" w:rsidRDefault="008E75EB" w:rsidP="00181503">
      <w:pPr>
        <w:tabs>
          <w:tab w:val="center" w:pos="4441"/>
          <w:tab w:val="left" w:pos="7660"/>
        </w:tabs>
        <w:spacing w:before="120" w:after="100" w:afterAutospacing="1"/>
        <w:ind w:firstLine="560"/>
        <w:jc w:val="both"/>
        <w:rPr>
          <w:bCs/>
          <w:lang w:val="nl-NL"/>
        </w:rPr>
      </w:pPr>
      <w:r>
        <w:rPr>
          <w:bCs/>
          <w:lang w:val="nl-NL"/>
        </w:rPr>
        <w:t xml:space="preserve">    4. Công ty chứng khoán có nghĩa vụ báo cáo định kỳ, báo cáo theo yêu cầu về hoạt động giao dịch ký quỹ với UBCKNN, SGDCK và TTLKCK. </w:t>
      </w:r>
    </w:p>
    <w:p w:rsidR="008E75EB" w:rsidRDefault="008E75EB" w:rsidP="00181503">
      <w:pPr>
        <w:tabs>
          <w:tab w:val="center" w:pos="4441"/>
          <w:tab w:val="left" w:pos="7660"/>
        </w:tabs>
        <w:spacing w:before="120" w:after="100" w:afterAutospacing="1"/>
        <w:ind w:firstLine="560"/>
        <w:jc w:val="both"/>
        <w:rPr>
          <w:bCs/>
          <w:lang w:val="nl-NL"/>
        </w:rPr>
      </w:pPr>
      <w:r>
        <w:rPr>
          <w:bCs/>
          <w:lang w:val="nl-NL"/>
        </w:rPr>
        <w:t xml:space="preserve">   </w:t>
      </w:r>
      <w:r w:rsidR="00D63227">
        <w:rPr>
          <w:bCs/>
          <w:lang w:val="nl-NL"/>
        </w:rPr>
        <w:t xml:space="preserve"> </w:t>
      </w:r>
      <w:r>
        <w:rPr>
          <w:bCs/>
          <w:lang w:val="nl-NL"/>
        </w:rPr>
        <w:t xml:space="preserve">5. Trong trường hợp cần thiết, để đảm bảo an toàn cho hoạt động của thị trường chứng khoán, UBCKNN có thể yêu cầu các công ty chứng khoán tạm ngừng giao dịch ký quỹ. </w:t>
      </w:r>
    </w:p>
    <w:p w:rsidR="008E75EB" w:rsidRDefault="008E75EB" w:rsidP="00181503">
      <w:pPr>
        <w:tabs>
          <w:tab w:val="center" w:pos="4441"/>
          <w:tab w:val="left" w:pos="7660"/>
        </w:tabs>
        <w:spacing w:before="120" w:after="100" w:afterAutospacing="1"/>
        <w:ind w:firstLine="560"/>
        <w:jc w:val="both"/>
        <w:rPr>
          <w:bCs/>
          <w:lang w:val="nl-NL"/>
        </w:rPr>
      </w:pPr>
      <w:r>
        <w:rPr>
          <w:bCs/>
          <w:lang w:val="nl-NL"/>
        </w:rPr>
        <w:t xml:space="preserve">   </w:t>
      </w:r>
      <w:r w:rsidR="00D63227">
        <w:rPr>
          <w:bCs/>
          <w:lang w:val="nl-NL"/>
        </w:rPr>
        <w:t xml:space="preserve"> </w:t>
      </w:r>
      <w:r>
        <w:rPr>
          <w:bCs/>
          <w:lang w:val="nl-NL"/>
        </w:rPr>
        <w:t xml:space="preserve">6. UBCKNN quy định cụ thể nghiệp vụ giao dịch ký quỹ cho các công ty chứng khoán. </w:t>
      </w:r>
    </w:p>
    <w:p w:rsidR="008E75EB" w:rsidRPr="00734E2B" w:rsidRDefault="008E75EB" w:rsidP="00181503">
      <w:pPr>
        <w:tabs>
          <w:tab w:val="center" w:pos="4441"/>
          <w:tab w:val="left" w:pos="7660"/>
        </w:tabs>
        <w:spacing w:before="120" w:after="100" w:afterAutospacing="1"/>
        <w:ind w:firstLine="560"/>
        <w:jc w:val="both"/>
        <w:rPr>
          <w:color w:val="000000"/>
          <w:lang w:val="nl-NL"/>
        </w:rPr>
      </w:pPr>
      <w:r>
        <w:rPr>
          <w:bCs/>
          <w:lang w:val="nl-NL"/>
        </w:rPr>
        <w:t xml:space="preserve">   </w:t>
      </w:r>
      <w:r w:rsidR="00EE0A03">
        <w:rPr>
          <w:bCs/>
          <w:lang w:val="nl-NL"/>
        </w:rPr>
        <w:t xml:space="preserve"> </w:t>
      </w:r>
      <w:r>
        <w:rPr>
          <w:bCs/>
          <w:lang w:val="nl-NL"/>
        </w:rPr>
        <w:t xml:space="preserve">7. </w:t>
      </w:r>
      <w:r w:rsidRPr="00734E2B">
        <w:rPr>
          <w:color w:val="000000"/>
          <w:lang w:val="nl-NL"/>
        </w:rPr>
        <w:t xml:space="preserve">Nhà đầu tư phải đảm bảo tỷ lệ ký quỹ bằng tiền hoặc chứng khoán trong giao dịch theo hướng dẫn của UBCKNN và theo đúng quy định của pháp luật. </w:t>
      </w:r>
    </w:p>
    <w:p w:rsidR="00B85D9F" w:rsidRPr="00B85D9F" w:rsidRDefault="00B85D9F" w:rsidP="00181503">
      <w:pPr>
        <w:spacing w:before="120" w:after="120"/>
        <w:ind w:firstLine="567"/>
        <w:jc w:val="both"/>
        <w:rPr>
          <w:color w:val="000000"/>
          <w:lang w:val="nl-NL"/>
        </w:rPr>
      </w:pPr>
      <w:r w:rsidRPr="00B85D9F">
        <w:rPr>
          <w:b/>
          <w:bCs/>
          <w:color w:val="000000"/>
          <w:lang w:val="nl-NL"/>
        </w:rPr>
        <w:t>Điều </w:t>
      </w:r>
      <w:bookmarkStart w:id="0" w:name="Dieu_3"/>
      <w:bookmarkEnd w:id="0"/>
      <w:r w:rsidRPr="00B85D9F">
        <w:rPr>
          <w:b/>
          <w:bCs/>
          <w:color w:val="000000"/>
          <w:lang w:val="nl-NL"/>
        </w:rPr>
        <w:t>1</w:t>
      </w:r>
      <w:r>
        <w:rPr>
          <w:b/>
          <w:bCs/>
          <w:color w:val="000000"/>
          <w:lang w:val="nl-NL"/>
        </w:rPr>
        <w:t>1</w:t>
      </w:r>
      <w:r w:rsidRPr="00B85D9F">
        <w:rPr>
          <w:b/>
          <w:bCs/>
          <w:color w:val="000000"/>
          <w:lang w:val="nl-NL"/>
        </w:rPr>
        <w:t xml:space="preserve">. </w:t>
      </w:r>
      <w:r>
        <w:rPr>
          <w:b/>
          <w:bCs/>
          <w:color w:val="000000"/>
          <w:lang w:val="nl-NL"/>
        </w:rPr>
        <w:t>Giao dịch trong ngày</w:t>
      </w:r>
    </w:p>
    <w:p w:rsidR="00B85D9F" w:rsidRPr="00B85D9F" w:rsidRDefault="00B85D9F" w:rsidP="00181503">
      <w:pPr>
        <w:spacing w:before="120" w:after="120"/>
        <w:ind w:firstLine="567"/>
        <w:jc w:val="both"/>
        <w:rPr>
          <w:color w:val="000000"/>
          <w:lang w:val="nl-NL"/>
        </w:rPr>
      </w:pPr>
      <w:r w:rsidRPr="00B85D9F">
        <w:rPr>
          <w:color w:val="000000"/>
          <w:lang w:val="nl-NL"/>
        </w:rPr>
        <w:t xml:space="preserve">    1. </w:t>
      </w:r>
      <w:r w:rsidRPr="006A178D">
        <w:rPr>
          <w:bCs/>
          <w:lang w:val="nl-NL"/>
        </w:rPr>
        <w:t xml:space="preserve">Công </w:t>
      </w:r>
      <w:r>
        <w:rPr>
          <w:bCs/>
          <w:lang w:val="nl-NL"/>
        </w:rPr>
        <w:t xml:space="preserve">ty chứng khoán đáp ứng các điều kiện dưới đây </w:t>
      </w:r>
      <w:r w:rsidRPr="001F5EC9">
        <w:rPr>
          <w:bCs/>
          <w:lang w:val="nl-NL"/>
        </w:rPr>
        <w:t xml:space="preserve">được </w:t>
      </w:r>
      <w:r>
        <w:rPr>
          <w:bCs/>
          <w:lang w:val="nl-NL"/>
        </w:rPr>
        <w:t xml:space="preserve">phép cung cấp dịch vụ </w:t>
      </w:r>
      <w:r w:rsidRPr="001F5EC9">
        <w:rPr>
          <w:bCs/>
          <w:lang w:val="nl-NL"/>
        </w:rPr>
        <w:t xml:space="preserve">giao dịch </w:t>
      </w:r>
      <w:r>
        <w:rPr>
          <w:bCs/>
          <w:lang w:val="nl-NL"/>
        </w:rPr>
        <w:t>trong ngày cho khách hàng</w:t>
      </w:r>
      <w:r w:rsidRPr="001F5EC9">
        <w:rPr>
          <w:bCs/>
          <w:lang w:val="nl-NL"/>
        </w:rPr>
        <w:t xml:space="preserve"> sau khi </w:t>
      </w:r>
      <w:r>
        <w:rPr>
          <w:bCs/>
          <w:lang w:val="nl-NL"/>
        </w:rPr>
        <w:t>đã được UBCKNN chấp thuận:</w:t>
      </w:r>
    </w:p>
    <w:p w:rsidR="00B85D9F" w:rsidRPr="002379E1" w:rsidRDefault="00B85D9F" w:rsidP="00181503">
      <w:pPr>
        <w:numPr>
          <w:ilvl w:val="0"/>
          <w:numId w:val="29"/>
        </w:numPr>
        <w:tabs>
          <w:tab w:val="left" w:pos="0"/>
          <w:tab w:val="left" w:pos="993"/>
        </w:tabs>
        <w:spacing w:before="120" w:after="120"/>
        <w:ind w:left="0" w:firstLine="709"/>
        <w:jc w:val="both"/>
        <w:rPr>
          <w:lang w:val="nl-NL"/>
        </w:rPr>
      </w:pPr>
      <w:r>
        <w:rPr>
          <w:lang w:val="nl-NL"/>
        </w:rPr>
        <w:lastRenderedPageBreak/>
        <w:t xml:space="preserve">Công ty </w:t>
      </w:r>
      <w:r w:rsidRPr="002379E1">
        <w:rPr>
          <w:lang w:val="nl-NL"/>
        </w:rPr>
        <w:t>chứng khoán được cấp phép đầy đủ các nghiệp vụ kinh doanh chứng khoán theo quy định tại Luật Chứng khoán;</w:t>
      </w:r>
    </w:p>
    <w:p w:rsidR="00B85D9F" w:rsidRPr="002379E1" w:rsidRDefault="00B85D9F" w:rsidP="00181503">
      <w:pPr>
        <w:numPr>
          <w:ilvl w:val="0"/>
          <w:numId w:val="29"/>
        </w:numPr>
        <w:tabs>
          <w:tab w:val="left" w:pos="0"/>
          <w:tab w:val="left" w:pos="993"/>
        </w:tabs>
        <w:spacing w:before="120" w:after="120"/>
        <w:ind w:left="0" w:firstLine="709"/>
        <w:jc w:val="both"/>
        <w:rPr>
          <w:lang w:val="nl-NL"/>
        </w:rPr>
      </w:pPr>
      <w:r>
        <w:rPr>
          <w:lang w:val="nl-NL"/>
        </w:rPr>
        <w:t>C</w:t>
      </w:r>
      <w:r w:rsidRPr="002379E1">
        <w:rPr>
          <w:lang w:val="nl-NL"/>
        </w:rPr>
        <w:t xml:space="preserve">ó vốn chủ sở hữu, vốn điều lệ đạt từ </w:t>
      </w:r>
      <w:r>
        <w:rPr>
          <w:lang w:val="nl-NL"/>
        </w:rPr>
        <w:t>tám</w:t>
      </w:r>
      <w:r w:rsidRPr="002379E1">
        <w:rPr>
          <w:lang w:val="nl-NL"/>
        </w:rPr>
        <w:t xml:space="preserve"> trăm (</w:t>
      </w:r>
      <w:r>
        <w:rPr>
          <w:lang w:val="nl-NL"/>
        </w:rPr>
        <w:t>8</w:t>
      </w:r>
      <w:r w:rsidRPr="002379E1">
        <w:rPr>
          <w:lang w:val="nl-NL"/>
        </w:rPr>
        <w:t xml:space="preserve">00) tỷ đồng trở lên </w:t>
      </w:r>
      <w:r>
        <w:rPr>
          <w:lang w:val="nl-NL"/>
        </w:rPr>
        <w:t xml:space="preserve">tại </w:t>
      </w:r>
      <w:r w:rsidRPr="002379E1">
        <w:rPr>
          <w:lang w:val="nl-NL"/>
        </w:rPr>
        <w:t>báo cáo tài chính của năm tài chính gần nhất đã được kiểm toán và báo cáo tài chính bán niên gần nhất đã soát xét bởi tổ chức kiểm</w:t>
      </w:r>
      <w:r>
        <w:rPr>
          <w:lang w:val="nl-NL"/>
        </w:rPr>
        <w:t xml:space="preserve"> toán được chấp thuận. </w:t>
      </w:r>
      <w:r w:rsidRPr="002379E1">
        <w:rPr>
          <w:lang w:val="nl-NL"/>
        </w:rPr>
        <w:t>Ý kiến của kiểm toán được chấp thuận tại các báo cáo tài chính nêu trên phải chấp nhận toàn bộ, không có ngoại trừ hoặc lưu ý;</w:t>
      </w:r>
    </w:p>
    <w:p w:rsidR="003143F4" w:rsidRDefault="00B85D9F" w:rsidP="00181503">
      <w:pPr>
        <w:numPr>
          <w:ilvl w:val="0"/>
          <w:numId w:val="29"/>
        </w:numPr>
        <w:tabs>
          <w:tab w:val="left" w:pos="0"/>
          <w:tab w:val="left" w:pos="993"/>
        </w:tabs>
        <w:spacing w:before="120" w:after="120"/>
        <w:ind w:left="0" w:firstLine="709"/>
        <w:jc w:val="both"/>
        <w:rPr>
          <w:lang w:val="nl-NL"/>
        </w:rPr>
      </w:pPr>
      <w:r>
        <w:rPr>
          <w:lang w:val="nl-NL"/>
        </w:rPr>
        <w:t>Đã t</w:t>
      </w:r>
      <w:r w:rsidRPr="002379E1">
        <w:rPr>
          <w:lang w:val="nl-NL"/>
        </w:rPr>
        <w:t>rích lập đầy đủ các khoản dự phòng theo quy định</w:t>
      </w:r>
      <w:r>
        <w:rPr>
          <w:lang w:val="nl-NL"/>
        </w:rPr>
        <w:t xml:space="preserve">, </w:t>
      </w:r>
      <w:r w:rsidRPr="002379E1">
        <w:rPr>
          <w:lang w:val="nl-NL"/>
        </w:rPr>
        <w:t xml:space="preserve">và không có lỗ trong hai (02) năm gần nhất; tỷ lệ vốn khả dụng đạt tối thiểu 220% liên tục trong mười hai (12) tháng gần nhất trước tháng nộp hồ sơ </w:t>
      </w:r>
      <w:r>
        <w:rPr>
          <w:lang w:val="nl-NL"/>
        </w:rPr>
        <w:t>báo cáo về việc đăng ký môi giới giao dịch mua bán trong ngày</w:t>
      </w:r>
      <w:r w:rsidRPr="002379E1">
        <w:rPr>
          <w:lang w:val="nl-NL"/>
        </w:rPr>
        <w:t xml:space="preserve">; </w:t>
      </w:r>
    </w:p>
    <w:p w:rsidR="00B85D9F" w:rsidRPr="003143F4" w:rsidRDefault="00B85D9F" w:rsidP="00181503">
      <w:pPr>
        <w:numPr>
          <w:ilvl w:val="0"/>
          <w:numId w:val="29"/>
        </w:numPr>
        <w:tabs>
          <w:tab w:val="left" w:pos="0"/>
          <w:tab w:val="left" w:pos="993"/>
        </w:tabs>
        <w:spacing w:before="120" w:after="120"/>
        <w:ind w:left="0" w:firstLine="709"/>
        <w:jc w:val="both"/>
        <w:rPr>
          <w:lang w:val="nl-NL"/>
        </w:rPr>
      </w:pPr>
      <w:r w:rsidRPr="003143F4">
        <w:rPr>
          <w:lang w:val="nl-NL"/>
        </w:rPr>
        <w:t>Không đang trong quá trình hợp nhất, sáp nhập, giải thể hoặc đang trong tình trạng kiểm soát, kiểm soát đặc biệt, đình chỉ hoạt động, tạm ngừng hoạt động theo quyết định của cơ quan có thẩm quyền</w:t>
      </w:r>
      <w:r w:rsidR="003143F4">
        <w:rPr>
          <w:lang w:val="nl-NL"/>
        </w:rPr>
        <w:t>.</w:t>
      </w:r>
    </w:p>
    <w:p w:rsidR="003143F4" w:rsidRDefault="003143F4" w:rsidP="00181503">
      <w:pPr>
        <w:spacing w:before="120" w:after="120"/>
        <w:ind w:firstLine="567"/>
        <w:jc w:val="both"/>
        <w:rPr>
          <w:color w:val="000000"/>
          <w:lang w:val="nl-NL"/>
        </w:rPr>
      </w:pPr>
      <w:r>
        <w:rPr>
          <w:color w:val="000000"/>
          <w:lang w:val="nl-NL"/>
        </w:rPr>
        <w:t xml:space="preserve">2. </w:t>
      </w:r>
      <w:r w:rsidR="00AF219B">
        <w:rPr>
          <w:color w:val="000000"/>
          <w:lang w:val="nl-NL"/>
        </w:rPr>
        <w:t>C</w:t>
      </w:r>
      <w:r>
        <w:rPr>
          <w:color w:val="000000"/>
          <w:lang w:val="nl-NL"/>
        </w:rPr>
        <w:t>ông ty chứng khoán phải nộp hồ sơ đăng ký cung cấp dịch vụ mua bán trong ngày cho Ủy ban Chứng khoán Nhà nước. Hồ sơ bao gồm các tài liệu sau:</w:t>
      </w:r>
    </w:p>
    <w:p w:rsidR="003143F4" w:rsidRPr="00C83355" w:rsidRDefault="003143F4" w:rsidP="00181503">
      <w:pPr>
        <w:spacing w:before="120"/>
        <w:ind w:firstLine="567"/>
        <w:jc w:val="both"/>
        <w:rPr>
          <w:lang w:val="nl-NL"/>
        </w:rPr>
      </w:pPr>
      <w:r w:rsidRPr="00C83355">
        <w:rPr>
          <w:lang w:val="nl-NL"/>
        </w:rPr>
        <w:t>a) Giấy</w:t>
      </w:r>
      <w:r>
        <w:rPr>
          <w:lang w:val="nl-NL"/>
        </w:rPr>
        <w:t xml:space="preserve"> </w:t>
      </w:r>
      <w:r w:rsidRPr="00C83355">
        <w:rPr>
          <w:lang w:val="nl-NL"/>
        </w:rPr>
        <w:t xml:space="preserve">đề nghị </w:t>
      </w:r>
      <w:r>
        <w:rPr>
          <w:lang w:val="nl-NL"/>
        </w:rPr>
        <w:t>đăng ký dịch vụ môi giới mua bán trong ngày</w:t>
      </w:r>
      <w:r w:rsidRPr="00C83355">
        <w:rPr>
          <w:lang w:val="nl-NL"/>
        </w:rPr>
        <w:t xml:space="preserve"> theo mẫu quy định tại Phụ lục số </w:t>
      </w:r>
      <w:r>
        <w:rPr>
          <w:lang w:val="nl-NL"/>
        </w:rPr>
        <w:t>...</w:t>
      </w:r>
      <w:r w:rsidRPr="00C83355">
        <w:rPr>
          <w:lang w:val="nl-NL"/>
        </w:rPr>
        <w:t xml:space="preserve"> ban hành kèm theo Thông tư này;</w:t>
      </w:r>
    </w:p>
    <w:p w:rsidR="003143F4" w:rsidRDefault="003143F4" w:rsidP="00181503">
      <w:pPr>
        <w:spacing w:before="120" w:after="120"/>
        <w:ind w:firstLine="567"/>
        <w:jc w:val="both"/>
        <w:rPr>
          <w:color w:val="000000"/>
          <w:lang w:val="nl-NL"/>
        </w:rPr>
      </w:pPr>
      <w:r w:rsidRPr="00C83355">
        <w:rPr>
          <w:lang w:val="nl-NL"/>
        </w:rPr>
        <w:t xml:space="preserve">b) Biên bản họp, nghị quyết đại hội cổ đông, hội đồng thành viên hoặc quyết định của chủ sở hữu </w:t>
      </w:r>
      <w:r>
        <w:rPr>
          <w:lang w:val="nl-NL"/>
        </w:rPr>
        <w:t>về việc</w:t>
      </w:r>
      <w:r w:rsidRPr="00C83355">
        <w:rPr>
          <w:lang w:val="nl-NL"/>
        </w:rPr>
        <w:t xml:space="preserve"> </w:t>
      </w:r>
      <w:r>
        <w:rPr>
          <w:lang w:val="nl-NL"/>
        </w:rPr>
        <w:t xml:space="preserve">cung cấp </w:t>
      </w:r>
      <w:r w:rsidRPr="00C83355">
        <w:rPr>
          <w:lang w:val="nl-NL"/>
        </w:rPr>
        <w:t xml:space="preserve">dịch vụ </w:t>
      </w:r>
      <w:r>
        <w:rPr>
          <w:lang w:val="nl-NL"/>
        </w:rPr>
        <w:t>môi giới mua bán trong ngày</w:t>
      </w:r>
      <w:r w:rsidRPr="00C83355">
        <w:rPr>
          <w:lang w:val="nl-NL"/>
        </w:rPr>
        <w:t>;</w:t>
      </w:r>
      <w:r>
        <w:rPr>
          <w:color w:val="000000"/>
          <w:lang w:val="nl-NL"/>
        </w:rPr>
        <w:t xml:space="preserve"> </w:t>
      </w:r>
    </w:p>
    <w:p w:rsidR="003143F4" w:rsidRDefault="003143F4" w:rsidP="00181503">
      <w:pPr>
        <w:spacing w:before="120" w:after="120"/>
        <w:ind w:firstLine="567"/>
        <w:jc w:val="both"/>
        <w:rPr>
          <w:lang w:val="nl-NL"/>
        </w:rPr>
      </w:pPr>
      <w:r>
        <w:rPr>
          <w:lang w:val="nl-NL"/>
        </w:rPr>
        <w:t>c) Quy trình quản trị rủi ro, quy trình xử lý thiếu hụt chứng khoán hoặc tiền để bảo đảm thanh toán</w:t>
      </w:r>
      <w:r w:rsidR="00AF219B">
        <w:rPr>
          <w:lang w:val="nl-NL"/>
        </w:rPr>
        <w:t>.</w:t>
      </w:r>
    </w:p>
    <w:p w:rsidR="00AF219B" w:rsidRPr="00C83355" w:rsidRDefault="00AF219B" w:rsidP="00181503">
      <w:pPr>
        <w:spacing w:before="120"/>
        <w:ind w:firstLine="567"/>
        <w:jc w:val="both"/>
        <w:rPr>
          <w:lang w:val="nl-NL"/>
        </w:rPr>
      </w:pPr>
      <w:r w:rsidRPr="00C83355">
        <w:rPr>
          <w:lang w:val="nl-NL"/>
        </w:rPr>
        <w:t>2. Hồ sơ theo quy định tại khoản 1 Điều này được lập thành một (01) bộ gốc kèm theo tệp thông tin điện tử. Bộ hồ sơ gốc được gửi trực tiếp Ủy ban Chứng khoán Nhà nước hoặc gửi qua đường bưu điện.</w:t>
      </w:r>
    </w:p>
    <w:p w:rsidR="00AF219B" w:rsidRDefault="00AF219B" w:rsidP="00181503">
      <w:pPr>
        <w:spacing w:before="120" w:after="120"/>
        <w:ind w:firstLine="567"/>
        <w:jc w:val="both"/>
        <w:rPr>
          <w:lang w:val="nl-NL"/>
        </w:rPr>
      </w:pPr>
      <w:r w:rsidRPr="00C83355">
        <w:rPr>
          <w:lang w:val="nl-NL"/>
        </w:rPr>
        <w:t>3. Trong thời hạn mười (1</w:t>
      </w:r>
      <w:r>
        <w:rPr>
          <w:lang w:val="nl-NL"/>
        </w:rPr>
        <w:t>0</w:t>
      </w:r>
      <w:r w:rsidRPr="00C83355">
        <w:rPr>
          <w:lang w:val="nl-NL"/>
        </w:rPr>
        <w:t xml:space="preserve">) ngày làm việc, kể từ ngày nhận được đầy đủ hồ sơ hợp lệ theo quy định tại khoản 1 Điều này, Ủy ban Chứng khoán Nhà nước </w:t>
      </w:r>
      <w:r>
        <w:rPr>
          <w:lang w:val="nl-NL"/>
        </w:rPr>
        <w:t>chấp thuận cho phép công ty chứng khoán được cung cấp dịch vụ môi giới mua bán trong ngày</w:t>
      </w:r>
      <w:r w:rsidRPr="00C83355">
        <w:rPr>
          <w:lang w:val="nl-NL"/>
        </w:rPr>
        <w:t>. Trường hợp từ chối, Ủy ban Chứng khoán Nhà nước phải trả lời bằng văn bản và nêu rõ lý do.</w:t>
      </w:r>
    </w:p>
    <w:p w:rsidR="00B85D9F" w:rsidRPr="003445EE" w:rsidRDefault="00AF219B" w:rsidP="00181503">
      <w:pPr>
        <w:spacing w:before="120" w:after="120"/>
        <w:ind w:firstLine="567"/>
        <w:jc w:val="both"/>
        <w:rPr>
          <w:color w:val="000000"/>
          <w:lang w:val="nl-NL"/>
        </w:rPr>
      </w:pPr>
      <w:r>
        <w:rPr>
          <w:color w:val="000000"/>
          <w:lang w:val="nl-NL"/>
        </w:rPr>
        <w:t>4</w:t>
      </w:r>
      <w:r w:rsidR="00B85D9F" w:rsidRPr="003445EE">
        <w:rPr>
          <w:color w:val="000000"/>
          <w:lang w:val="nl-NL"/>
        </w:rPr>
        <w:t xml:space="preserve">. Nhà đầu tư được thực hiện </w:t>
      </w:r>
      <w:r w:rsidR="00B85D9F">
        <w:rPr>
          <w:color w:val="000000"/>
          <w:lang w:val="nl-NL"/>
        </w:rPr>
        <w:t xml:space="preserve">các </w:t>
      </w:r>
      <w:r w:rsidR="00B85D9F" w:rsidRPr="003445EE">
        <w:rPr>
          <w:color w:val="000000"/>
          <w:lang w:val="nl-NL"/>
        </w:rPr>
        <w:t>giao dịch mua bán trong ngày, khi đáp ứng các điều kiện sau:</w:t>
      </w:r>
    </w:p>
    <w:p w:rsidR="00B85D9F" w:rsidRPr="003445EE" w:rsidRDefault="00B85D9F" w:rsidP="00181503">
      <w:pPr>
        <w:spacing w:before="120" w:after="120"/>
        <w:ind w:firstLine="567"/>
        <w:jc w:val="both"/>
        <w:rPr>
          <w:color w:val="000000"/>
          <w:lang w:val="nl-NL"/>
        </w:rPr>
      </w:pPr>
      <w:r w:rsidRPr="003445EE">
        <w:rPr>
          <w:color w:val="000000"/>
          <w:lang w:val="nl-NL"/>
        </w:rPr>
        <w:t xml:space="preserve">a) </w:t>
      </w:r>
      <w:r>
        <w:rPr>
          <w:color w:val="000000"/>
          <w:lang w:val="nl-NL"/>
        </w:rPr>
        <w:t xml:space="preserve">Đã </w:t>
      </w:r>
      <w:r w:rsidRPr="003445EE">
        <w:rPr>
          <w:color w:val="000000"/>
          <w:lang w:val="nl-NL"/>
        </w:rPr>
        <w:t xml:space="preserve">ký hợp đồng giao dịch </w:t>
      </w:r>
      <w:r>
        <w:rPr>
          <w:color w:val="000000"/>
          <w:lang w:val="nl-NL"/>
        </w:rPr>
        <w:t xml:space="preserve">mua bán </w:t>
      </w:r>
      <w:r w:rsidRPr="003445EE">
        <w:rPr>
          <w:color w:val="000000"/>
          <w:lang w:val="nl-NL"/>
        </w:rPr>
        <w:t>trong ngày</w:t>
      </w:r>
      <w:r>
        <w:rPr>
          <w:color w:val="000000"/>
          <w:lang w:val="nl-NL"/>
        </w:rPr>
        <w:t xml:space="preserve"> và hợp đồng giao dịch ký quỹ</w:t>
      </w:r>
      <w:r w:rsidRPr="003445EE">
        <w:rPr>
          <w:color w:val="000000"/>
          <w:lang w:val="nl-NL"/>
        </w:rPr>
        <w:t xml:space="preserve"> với công ty chứng khoán</w:t>
      </w:r>
      <w:r>
        <w:rPr>
          <w:color w:val="000000"/>
          <w:lang w:val="nl-NL"/>
        </w:rPr>
        <w:t xml:space="preserve">; </w:t>
      </w:r>
    </w:p>
    <w:p w:rsidR="00B85D9F" w:rsidRPr="003445EE" w:rsidRDefault="00B85D9F" w:rsidP="00181503">
      <w:pPr>
        <w:spacing w:before="120" w:after="120"/>
        <w:ind w:firstLine="567"/>
        <w:jc w:val="both"/>
        <w:rPr>
          <w:color w:val="000000"/>
          <w:lang w:val="nl-NL"/>
        </w:rPr>
      </w:pPr>
      <w:r w:rsidRPr="003445EE">
        <w:rPr>
          <w:color w:val="000000"/>
          <w:lang w:val="nl-NL"/>
        </w:rPr>
        <w:t xml:space="preserve">b) </w:t>
      </w:r>
      <w:r>
        <w:rPr>
          <w:color w:val="000000"/>
          <w:lang w:val="nl-NL"/>
        </w:rPr>
        <w:t>Các điều kiện khác theo quy định nội bộ của công ty chứng khoán.</w:t>
      </w:r>
    </w:p>
    <w:p w:rsidR="00B85D9F" w:rsidRPr="00982890" w:rsidRDefault="00AF219B" w:rsidP="00181503">
      <w:pPr>
        <w:tabs>
          <w:tab w:val="center" w:pos="4441"/>
          <w:tab w:val="left" w:pos="7660"/>
        </w:tabs>
        <w:spacing w:before="120" w:after="100" w:afterAutospacing="1"/>
        <w:ind w:firstLine="560"/>
        <w:jc w:val="both"/>
        <w:rPr>
          <w:lang w:val="nl-NL"/>
        </w:rPr>
      </w:pPr>
      <w:r>
        <w:rPr>
          <w:color w:val="000000"/>
          <w:sz w:val="26"/>
          <w:szCs w:val="26"/>
          <w:lang w:val="nl-NL"/>
        </w:rPr>
        <w:t>5</w:t>
      </w:r>
      <w:r w:rsidR="00B85D9F" w:rsidRPr="009E7293">
        <w:rPr>
          <w:lang w:val="nl-NL"/>
        </w:rPr>
        <w:t>.</w:t>
      </w:r>
      <w:r w:rsidR="00B85D9F">
        <w:rPr>
          <w:lang w:val="nl-NL"/>
        </w:rPr>
        <w:t xml:space="preserve"> </w:t>
      </w:r>
      <w:r w:rsidR="00B85D9F">
        <w:rPr>
          <w:bCs/>
          <w:lang w:val="nl-NL"/>
        </w:rPr>
        <w:t xml:space="preserve"> Giao dịch mua bán </w:t>
      </w:r>
      <w:r w:rsidR="00B85D9F" w:rsidRPr="00A62BAD">
        <w:rPr>
          <w:lang w:val="nl-NL"/>
        </w:rPr>
        <w:t xml:space="preserve">trong ngày </w:t>
      </w:r>
      <w:r w:rsidR="00B85D9F">
        <w:rPr>
          <w:lang w:val="nl-NL"/>
        </w:rPr>
        <w:t xml:space="preserve">được thực hiện </w:t>
      </w:r>
      <w:r w:rsidR="00982890">
        <w:rPr>
          <w:lang w:val="nl-NL"/>
        </w:rPr>
        <w:t>thông qua việc</w:t>
      </w:r>
      <w:r w:rsidR="00B85D9F">
        <w:rPr>
          <w:lang w:val="nl-NL"/>
        </w:rPr>
        <w:t xml:space="preserve"> </w:t>
      </w:r>
      <w:r w:rsidR="00982890">
        <w:rPr>
          <w:lang w:val="nl-NL"/>
        </w:rPr>
        <w:t>n</w:t>
      </w:r>
      <w:r w:rsidR="00B85D9F">
        <w:rPr>
          <w:lang w:val="nl-NL"/>
        </w:rPr>
        <w:t xml:space="preserve">hà đầu tư bán số chứng khoán đã mua từ lệnh mua đã được thực hiện trước đó trong cùng ngày giao dịch (mua trước – bán sau); hoặc </w:t>
      </w:r>
      <w:r w:rsidR="00982890">
        <w:rPr>
          <w:lang w:val="nl-NL"/>
        </w:rPr>
        <w:t>n</w:t>
      </w:r>
      <w:r w:rsidR="00B85D9F">
        <w:rPr>
          <w:lang w:val="nl-NL"/>
        </w:rPr>
        <w:t xml:space="preserve">hà đầu tư mua </w:t>
      </w:r>
      <w:r w:rsidR="00C65E84">
        <w:rPr>
          <w:lang w:val="nl-NL"/>
        </w:rPr>
        <w:t xml:space="preserve">thêm </w:t>
      </w:r>
      <w:r w:rsidR="00B85D9F">
        <w:rPr>
          <w:lang w:val="nl-NL"/>
        </w:rPr>
        <w:t xml:space="preserve">chứng khoán để bù lại số chứng khoán đã bán trước đó </w:t>
      </w:r>
      <w:r w:rsidR="00B85D9F" w:rsidRPr="00A62BAD">
        <w:rPr>
          <w:lang w:val="nl-NL"/>
        </w:rPr>
        <w:t xml:space="preserve"> (bán trước - mua sau)</w:t>
      </w:r>
      <w:r w:rsidR="00B85D9F">
        <w:rPr>
          <w:color w:val="000000"/>
          <w:lang w:val="nl-NL"/>
        </w:rPr>
        <w:t>.</w:t>
      </w:r>
    </w:p>
    <w:p w:rsidR="00B85D9F" w:rsidRDefault="00AF219B" w:rsidP="00181503">
      <w:pPr>
        <w:tabs>
          <w:tab w:val="center" w:pos="4441"/>
          <w:tab w:val="left" w:pos="7660"/>
        </w:tabs>
        <w:spacing w:before="120" w:after="100" w:afterAutospacing="1"/>
        <w:ind w:firstLine="560"/>
        <w:jc w:val="both"/>
        <w:rPr>
          <w:color w:val="000000"/>
          <w:lang w:val="nl-NL"/>
        </w:rPr>
      </w:pPr>
      <w:r>
        <w:rPr>
          <w:color w:val="000000"/>
          <w:lang w:val="nl-NL"/>
        </w:rPr>
        <w:lastRenderedPageBreak/>
        <w:t>6</w:t>
      </w:r>
      <w:r w:rsidR="00B85D9F">
        <w:rPr>
          <w:color w:val="000000"/>
          <w:lang w:val="nl-NL"/>
        </w:rPr>
        <w:t>.  Hoạt động giao dịch trong ngày phải bảo đảm tuân thủ nguyên tắc sau:</w:t>
      </w:r>
      <w:r w:rsidR="00B85D9F" w:rsidRPr="00A62BAD">
        <w:rPr>
          <w:color w:val="000000"/>
          <w:lang w:val="nl-NL"/>
        </w:rPr>
        <w:t xml:space="preserve">    </w:t>
      </w:r>
    </w:p>
    <w:p w:rsidR="00075594" w:rsidRDefault="00075594" w:rsidP="00181503">
      <w:pPr>
        <w:tabs>
          <w:tab w:val="center" w:pos="4441"/>
          <w:tab w:val="left" w:pos="7660"/>
        </w:tabs>
        <w:spacing w:before="120" w:after="100" w:afterAutospacing="1"/>
        <w:ind w:firstLine="560"/>
        <w:jc w:val="both"/>
        <w:rPr>
          <w:color w:val="000000"/>
          <w:lang w:val="nl-NL"/>
        </w:rPr>
      </w:pPr>
      <w:r>
        <w:rPr>
          <w:color w:val="000000"/>
          <w:lang w:val="nl-NL"/>
        </w:rPr>
        <w:t>a) Trước khi cung cấp dịch vụ môi giới mua bán trong ngày, công ty chứng khoán có trách nhiệm thông báo cho Sở giao dịch chứng khoán, Trung tâm Lưu ký chứng khoán mã số tài khoản giao dịch của các khách hàng thực hiện giao dịch mua bán trong ngày;</w:t>
      </w:r>
    </w:p>
    <w:p w:rsidR="00B85D9F" w:rsidRDefault="00075594" w:rsidP="00181503">
      <w:pPr>
        <w:tabs>
          <w:tab w:val="center" w:pos="4441"/>
          <w:tab w:val="left" w:pos="7660"/>
        </w:tabs>
        <w:spacing w:before="120" w:after="100" w:afterAutospacing="1"/>
        <w:ind w:firstLine="560"/>
        <w:jc w:val="both"/>
        <w:rPr>
          <w:color w:val="000000"/>
          <w:lang w:val="nl-NL"/>
        </w:rPr>
      </w:pPr>
      <w:r>
        <w:rPr>
          <w:color w:val="000000"/>
          <w:lang w:val="nl-NL"/>
        </w:rPr>
        <w:t>b</w:t>
      </w:r>
      <w:r w:rsidR="00B85D9F">
        <w:rPr>
          <w:color w:val="000000"/>
          <w:lang w:val="nl-NL"/>
        </w:rPr>
        <w:t>) Nhà đầu tư k</w:t>
      </w:r>
      <w:r w:rsidR="00B85D9F" w:rsidRPr="00C23A0B">
        <w:rPr>
          <w:color w:val="000000"/>
          <w:lang w:val="nl-NL"/>
        </w:rPr>
        <w:t xml:space="preserve">hông được thực hiện </w:t>
      </w:r>
      <w:r w:rsidR="00DF2179">
        <w:rPr>
          <w:color w:val="000000"/>
          <w:lang w:val="nl-NL"/>
        </w:rPr>
        <w:t>các</w:t>
      </w:r>
      <w:r w:rsidR="00B85D9F" w:rsidRPr="00C23A0B">
        <w:rPr>
          <w:color w:val="000000"/>
          <w:lang w:val="nl-NL"/>
        </w:rPr>
        <w:t xml:space="preserve"> </w:t>
      </w:r>
      <w:r w:rsidR="00B85D9F">
        <w:rPr>
          <w:color w:val="000000"/>
          <w:lang w:val="nl-NL"/>
        </w:rPr>
        <w:t xml:space="preserve">giao dịch mua bán trong ngày </w:t>
      </w:r>
      <w:r w:rsidR="00B85D9F" w:rsidRPr="00C23A0B">
        <w:rPr>
          <w:color w:val="000000"/>
          <w:lang w:val="nl-NL"/>
        </w:rPr>
        <w:t>trong phiên giao dịch khớp lệnh định kỳ xác định giá mở/đóng cửa (ATO/ATC)</w:t>
      </w:r>
      <w:r w:rsidR="00B85D9F">
        <w:rPr>
          <w:color w:val="000000"/>
          <w:lang w:val="nl-NL"/>
        </w:rPr>
        <w:t>. Các giao dịch này chỉ được thực hiện</w:t>
      </w:r>
      <w:r w:rsidR="00B85D9F" w:rsidRPr="00C23A0B">
        <w:rPr>
          <w:color w:val="000000"/>
          <w:lang w:val="nl-NL"/>
        </w:rPr>
        <w:t xml:space="preserve"> trong phiên khớp lệnh liên tục;</w:t>
      </w:r>
    </w:p>
    <w:p w:rsidR="00DF2179" w:rsidRPr="00C23A0B" w:rsidRDefault="00DF2179" w:rsidP="00181503">
      <w:pPr>
        <w:tabs>
          <w:tab w:val="center" w:pos="4441"/>
          <w:tab w:val="left" w:pos="7660"/>
        </w:tabs>
        <w:spacing w:before="120" w:after="100" w:afterAutospacing="1"/>
        <w:ind w:firstLine="560"/>
        <w:jc w:val="both"/>
        <w:rPr>
          <w:color w:val="000000"/>
          <w:lang w:val="nl-NL"/>
        </w:rPr>
      </w:pPr>
      <w:r>
        <w:rPr>
          <w:color w:val="000000"/>
          <w:lang w:val="nl-NL"/>
        </w:rPr>
        <w:t>Nhà đầu tư không được thực hiện các giao dịch mua bán trong ngày từ tài khoản giao dịch tổng theo quy định tại Điểm c Khoản 4 Điều 7 Thông tư này</w:t>
      </w:r>
      <w:r w:rsidR="00A65B57">
        <w:rPr>
          <w:color w:val="000000"/>
          <w:lang w:val="nl-NL"/>
        </w:rPr>
        <w:t xml:space="preserve"> hoặc tài khoản quản lý danh mục đầu tư quản lý bởi công ty quản lý quỹ</w:t>
      </w:r>
      <w:r>
        <w:rPr>
          <w:color w:val="000000"/>
          <w:lang w:val="nl-NL"/>
        </w:rPr>
        <w:t>;</w:t>
      </w:r>
    </w:p>
    <w:p w:rsidR="00B85D9F" w:rsidRPr="00C23A0B" w:rsidRDefault="00075594" w:rsidP="00181503">
      <w:pPr>
        <w:tabs>
          <w:tab w:val="center" w:pos="4441"/>
          <w:tab w:val="left" w:pos="7660"/>
        </w:tabs>
        <w:spacing w:before="120" w:after="100" w:afterAutospacing="1"/>
        <w:ind w:firstLine="560"/>
        <w:jc w:val="both"/>
        <w:rPr>
          <w:color w:val="000000"/>
          <w:lang w:val="nl-NL"/>
        </w:rPr>
      </w:pPr>
      <w:r>
        <w:rPr>
          <w:color w:val="000000"/>
          <w:lang w:val="nl-NL"/>
        </w:rPr>
        <w:t>c</w:t>
      </w:r>
      <w:r w:rsidR="00B85D9F">
        <w:rPr>
          <w:color w:val="000000"/>
          <w:lang w:val="nl-NL"/>
        </w:rPr>
        <w:t>)</w:t>
      </w:r>
      <w:r w:rsidR="00B85D9F" w:rsidRPr="00C23A0B">
        <w:rPr>
          <w:color w:val="000000"/>
          <w:lang w:val="nl-NL"/>
        </w:rPr>
        <w:t xml:space="preserve"> </w:t>
      </w:r>
      <w:r w:rsidR="00B85D9F">
        <w:rPr>
          <w:color w:val="000000"/>
          <w:lang w:val="nl-NL"/>
        </w:rPr>
        <w:t>Không được thực hiện các hoạt động giao dịch mua bán trong ngày đối với g</w:t>
      </w:r>
      <w:r w:rsidR="00B85D9F" w:rsidRPr="00C23A0B">
        <w:rPr>
          <w:color w:val="000000"/>
          <w:lang w:val="nl-NL"/>
        </w:rPr>
        <w:t>iao dịch lô lẻ</w:t>
      </w:r>
      <w:r w:rsidR="00B85D9F">
        <w:rPr>
          <w:color w:val="000000"/>
          <w:lang w:val="nl-NL"/>
        </w:rPr>
        <w:t xml:space="preserve">, giao dịch thỏa thuận; </w:t>
      </w:r>
    </w:p>
    <w:p w:rsidR="00B85D9F" w:rsidRDefault="00075594" w:rsidP="00181503">
      <w:pPr>
        <w:tabs>
          <w:tab w:val="center" w:pos="4441"/>
          <w:tab w:val="left" w:pos="7660"/>
        </w:tabs>
        <w:spacing w:before="120" w:after="100" w:afterAutospacing="1"/>
        <w:ind w:firstLine="560"/>
        <w:jc w:val="both"/>
        <w:rPr>
          <w:color w:val="000000"/>
          <w:lang w:val="nl-NL"/>
        </w:rPr>
      </w:pPr>
      <w:r>
        <w:rPr>
          <w:color w:val="000000"/>
          <w:lang w:val="nl-NL"/>
        </w:rPr>
        <w:t>d</w:t>
      </w:r>
      <w:r w:rsidR="00B85D9F">
        <w:rPr>
          <w:color w:val="000000"/>
          <w:lang w:val="nl-NL"/>
        </w:rPr>
        <w:t>)</w:t>
      </w:r>
      <w:r w:rsidR="00B85D9F" w:rsidRPr="00C23A0B">
        <w:rPr>
          <w:color w:val="000000"/>
          <w:lang w:val="nl-NL"/>
        </w:rPr>
        <w:t xml:space="preserve"> </w:t>
      </w:r>
      <w:r w:rsidR="000F3B1D">
        <w:rPr>
          <w:color w:val="000000"/>
          <w:lang w:val="nl-NL"/>
        </w:rPr>
        <w:t>Kết thúc ngày giao dịch, s</w:t>
      </w:r>
      <w:r w:rsidR="00B85D9F" w:rsidRPr="00C23A0B">
        <w:rPr>
          <w:color w:val="000000"/>
          <w:lang w:val="nl-NL"/>
        </w:rPr>
        <w:t xml:space="preserve">ố chứng khoán bán không được nhiều hơn số lượng chứng khoán đã mua, bao gồm: chứng khoán </w:t>
      </w:r>
      <w:r w:rsidR="00B85D9F">
        <w:rPr>
          <w:color w:val="000000"/>
          <w:lang w:val="nl-NL"/>
        </w:rPr>
        <w:t xml:space="preserve">đã có </w:t>
      </w:r>
      <w:r w:rsidR="00B85D9F" w:rsidRPr="00C23A0B">
        <w:rPr>
          <w:color w:val="000000"/>
          <w:lang w:val="nl-NL"/>
        </w:rPr>
        <w:t>trên tài khoản</w:t>
      </w:r>
      <w:r w:rsidR="00B85D9F">
        <w:rPr>
          <w:color w:val="000000"/>
          <w:lang w:val="nl-NL"/>
        </w:rPr>
        <w:t xml:space="preserve"> của nhà đầu tư,</w:t>
      </w:r>
      <w:r w:rsidR="00B85D9F" w:rsidRPr="00C23A0B">
        <w:rPr>
          <w:color w:val="000000"/>
          <w:lang w:val="nl-NL"/>
        </w:rPr>
        <w:t xml:space="preserve"> chứng khoán chờ về</w:t>
      </w:r>
      <w:r w:rsidR="00B85D9F">
        <w:rPr>
          <w:color w:val="000000"/>
          <w:lang w:val="nl-NL"/>
        </w:rPr>
        <w:t xml:space="preserve"> và</w:t>
      </w:r>
      <w:r w:rsidR="00B85D9F" w:rsidRPr="00C23A0B">
        <w:rPr>
          <w:color w:val="000000"/>
          <w:lang w:val="nl-NL"/>
        </w:rPr>
        <w:t xml:space="preserve"> chứng khoán vừa mua trong cùng ngày giao dịch</w:t>
      </w:r>
      <w:r w:rsidR="000F3B1D">
        <w:rPr>
          <w:color w:val="000000"/>
          <w:lang w:val="nl-NL"/>
        </w:rPr>
        <w:t>. Trường hợp số chứng khoán bán nhiều hơn số chứng khoán mua, thì công ty chứng khoán, nhà đầu tư có trách nhiệm thực hiện theo quy trình hỗ trợ thanh toán quy định tại Điều 15 Thông tư này;</w:t>
      </w:r>
    </w:p>
    <w:p w:rsidR="00B85D9F" w:rsidRDefault="00075594" w:rsidP="00181503">
      <w:pPr>
        <w:tabs>
          <w:tab w:val="center" w:pos="4441"/>
          <w:tab w:val="left" w:pos="7660"/>
        </w:tabs>
        <w:spacing w:before="120" w:after="100" w:afterAutospacing="1"/>
        <w:ind w:firstLine="560"/>
        <w:jc w:val="both"/>
        <w:rPr>
          <w:color w:val="000000"/>
          <w:lang w:val="nl-NL"/>
        </w:rPr>
      </w:pPr>
      <w:r>
        <w:rPr>
          <w:color w:val="000000"/>
          <w:lang w:val="nl-NL"/>
        </w:rPr>
        <w:t>đ</w:t>
      </w:r>
      <w:r w:rsidR="00B85D9F">
        <w:rPr>
          <w:color w:val="000000"/>
          <w:lang w:val="nl-NL"/>
        </w:rPr>
        <w:t xml:space="preserve">) Giá trị giao dịch mua (hoặc bán) trong ngày của mỗi khách hàng không được vượt quá hạn mức do công ty chứng khoán xác định </w:t>
      </w:r>
      <w:r w:rsidR="000F3B1D">
        <w:rPr>
          <w:color w:val="000000"/>
          <w:lang w:val="nl-NL"/>
        </w:rPr>
        <w:t>và tổng giá trị giao dịch mua (hoặc bán</w:t>
      </w:r>
      <w:r w:rsidR="00225279">
        <w:rPr>
          <w:color w:val="000000"/>
          <w:lang w:val="nl-NL"/>
        </w:rPr>
        <w:t>)</w:t>
      </w:r>
      <w:r w:rsidR="000F3B1D">
        <w:rPr>
          <w:color w:val="000000"/>
          <w:lang w:val="nl-NL"/>
        </w:rPr>
        <w:t xml:space="preserve"> trong ngày của mỗi công ty chứng khoán không được vượt quá hạn mức </w:t>
      </w:r>
      <w:r w:rsidR="00B85D9F">
        <w:rPr>
          <w:color w:val="000000"/>
          <w:lang w:val="nl-NL"/>
        </w:rPr>
        <w:t>theo hướng dẫn của Ủy ban Chứng khoán Nhà nước;</w:t>
      </w:r>
    </w:p>
    <w:p w:rsidR="00B85D9F" w:rsidRDefault="00075594" w:rsidP="00181503">
      <w:pPr>
        <w:spacing w:before="120" w:after="120"/>
        <w:ind w:firstLine="567"/>
        <w:jc w:val="both"/>
        <w:rPr>
          <w:color w:val="000000"/>
          <w:lang w:val="nl-NL"/>
        </w:rPr>
      </w:pPr>
      <w:r>
        <w:rPr>
          <w:color w:val="000000"/>
          <w:lang w:val="nl-NL"/>
        </w:rPr>
        <w:t>e</w:t>
      </w:r>
      <w:r w:rsidR="00B85D9F">
        <w:rPr>
          <w:color w:val="000000"/>
          <w:lang w:val="nl-NL"/>
        </w:rPr>
        <w:t>) Giao dịch mua bán trong ngày chỉ được thực hiện đối với các c</w:t>
      </w:r>
      <w:r w:rsidR="00B85D9F" w:rsidRPr="003445EE">
        <w:rPr>
          <w:color w:val="000000"/>
          <w:lang w:val="nl-NL"/>
        </w:rPr>
        <w:t xml:space="preserve">ổ phiếu trong </w:t>
      </w:r>
      <w:r w:rsidR="00B85D9F">
        <w:rPr>
          <w:color w:val="000000"/>
          <w:lang w:val="nl-NL"/>
        </w:rPr>
        <w:t xml:space="preserve">danh mục các </w:t>
      </w:r>
      <w:r w:rsidR="00B85D9F" w:rsidRPr="003445EE">
        <w:rPr>
          <w:color w:val="000000"/>
          <w:lang w:val="nl-NL"/>
        </w:rPr>
        <w:t>chỉ số VN30, HNX30</w:t>
      </w:r>
      <w:r w:rsidR="00B85D9F">
        <w:rPr>
          <w:color w:val="000000"/>
          <w:lang w:val="nl-NL"/>
        </w:rPr>
        <w:t xml:space="preserve"> và chứng chỉ các quỹ đầu tư niêm yết trên SGDCK</w:t>
      </w:r>
      <w:r w:rsidR="00DC5777">
        <w:rPr>
          <w:color w:val="000000"/>
          <w:lang w:val="nl-NL"/>
        </w:rPr>
        <w:t>;</w:t>
      </w:r>
    </w:p>
    <w:p w:rsidR="00112A92" w:rsidRDefault="00075594" w:rsidP="00181503">
      <w:pPr>
        <w:spacing w:before="120" w:after="120"/>
        <w:ind w:firstLine="567"/>
        <w:jc w:val="both"/>
        <w:rPr>
          <w:color w:val="000000"/>
          <w:lang w:val="nl-NL"/>
        </w:rPr>
      </w:pPr>
      <w:r>
        <w:rPr>
          <w:color w:val="000000"/>
          <w:lang w:val="nl-NL"/>
        </w:rPr>
        <w:t>f</w:t>
      </w:r>
      <w:r w:rsidR="00DC5777">
        <w:rPr>
          <w:color w:val="000000"/>
          <w:lang w:val="nl-NL"/>
        </w:rPr>
        <w:t xml:space="preserve">) </w:t>
      </w:r>
      <w:r w:rsidR="00112A92">
        <w:rPr>
          <w:color w:val="000000"/>
          <w:lang w:val="nl-NL"/>
        </w:rPr>
        <w:t>Sau mỗi ngày giao dịch, công ty chứng khoán có trách nhiệm thực hiện việc bù trừ ròng các giao dịch mua bán trong ngày của từng khách hàng. Việc thanh toán thực hiện giữa công ty chứng khoán và khách hàng theo hơp đồng.</w:t>
      </w:r>
    </w:p>
    <w:p w:rsidR="003143F4" w:rsidRDefault="00075594" w:rsidP="00181503">
      <w:pPr>
        <w:spacing w:before="120" w:after="120"/>
        <w:ind w:firstLine="567"/>
        <w:jc w:val="both"/>
        <w:rPr>
          <w:color w:val="000000"/>
          <w:lang w:val="nl-NL"/>
        </w:rPr>
      </w:pPr>
      <w:r>
        <w:rPr>
          <w:color w:val="000000"/>
          <w:lang w:val="nl-NL"/>
        </w:rPr>
        <w:t>g</w:t>
      </w:r>
      <w:r w:rsidR="00AF219B">
        <w:rPr>
          <w:color w:val="000000"/>
          <w:lang w:val="nl-NL"/>
        </w:rPr>
        <w:t xml:space="preserve">) </w:t>
      </w:r>
      <w:r w:rsidR="00DC5777">
        <w:rPr>
          <w:color w:val="000000"/>
          <w:lang w:val="nl-NL"/>
        </w:rPr>
        <w:t xml:space="preserve">Công ty chứng khoán hoàn toàn chịu trách nhiệm xử lý và có nghĩa vụ thanh toán tiền, chuyển giao chứng khoán </w:t>
      </w:r>
      <w:r w:rsidR="00B75C26">
        <w:rPr>
          <w:color w:val="000000"/>
          <w:lang w:val="nl-NL"/>
        </w:rPr>
        <w:t xml:space="preserve">thay cho nhà đầu tư </w:t>
      </w:r>
      <w:r w:rsidR="00DC5777">
        <w:rPr>
          <w:color w:val="000000"/>
          <w:lang w:val="nl-NL"/>
        </w:rPr>
        <w:t>trong trường hợp nhà đầu tư không có đủ tiền đ</w:t>
      </w:r>
      <w:r w:rsidR="00B75C26">
        <w:rPr>
          <w:color w:val="000000"/>
          <w:lang w:val="nl-NL"/>
        </w:rPr>
        <w:t>ể</w:t>
      </w:r>
      <w:r w:rsidR="00DC5777">
        <w:rPr>
          <w:color w:val="000000"/>
          <w:lang w:val="nl-NL"/>
        </w:rPr>
        <w:t xml:space="preserve"> thanh toán hoặc chứng khoán để chuyển giao tại ngày thanh toán</w:t>
      </w:r>
      <w:r w:rsidR="003143F4">
        <w:rPr>
          <w:color w:val="000000"/>
          <w:lang w:val="nl-NL"/>
        </w:rPr>
        <w:t>;</w:t>
      </w:r>
    </w:p>
    <w:p w:rsidR="00952705" w:rsidRDefault="00075594" w:rsidP="00181503">
      <w:pPr>
        <w:spacing w:before="120" w:after="120"/>
        <w:ind w:firstLine="567"/>
        <w:jc w:val="both"/>
        <w:rPr>
          <w:color w:val="000000"/>
          <w:lang w:val="nl-NL"/>
        </w:rPr>
      </w:pPr>
      <w:r>
        <w:rPr>
          <w:color w:val="000000"/>
          <w:lang w:val="nl-NL"/>
        </w:rPr>
        <w:t>h</w:t>
      </w:r>
      <w:r w:rsidR="003143F4">
        <w:rPr>
          <w:color w:val="000000"/>
          <w:lang w:val="nl-NL"/>
        </w:rPr>
        <w:t xml:space="preserve">) Công ty chứng khoán có quyền yêu cầu khách hàng ký quỹ tiền hoặc chứng khoán trước khi cho phép khách hàng thực hiện các giao dịch trong ngày. </w:t>
      </w:r>
    </w:p>
    <w:p w:rsidR="00AF219B" w:rsidRDefault="00952705" w:rsidP="00181503">
      <w:pPr>
        <w:spacing w:before="120" w:after="120"/>
        <w:ind w:firstLine="567"/>
        <w:jc w:val="both"/>
        <w:rPr>
          <w:color w:val="000000"/>
          <w:lang w:val="nl-NL"/>
        </w:rPr>
      </w:pPr>
      <w:r>
        <w:rPr>
          <w:color w:val="000000"/>
          <w:lang w:val="nl-NL"/>
        </w:rPr>
        <w:lastRenderedPageBreak/>
        <w:t xml:space="preserve">Sau mỗi ngày giao dịch và kết thúc tháng, công ty chứng khoán có trách nhiệm tổng hợp, đánh giá kết quả kinh doanh từ hoạt động giao dịch mua bán trong ngày của từng khách hàng. </w:t>
      </w:r>
      <w:r w:rsidR="003143F4">
        <w:rPr>
          <w:color w:val="000000"/>
          <w:lang w:val="nl-NL"/>
        </w:rPr>
        <w:t>Căn cứ vào kết quả kinh doanh từ hoạt động giao dịch, năng lực tài chính của khách hàng, công ty chứng khoán có quyền đơn phương chấm dứt hợp đồng, chấm dứt cung cấp dịch vụ mua bán trong ngày đối với các khách hàng</w:t>
      </w:r>
      <w:r w:rsidR="00AF219B">
        <w:rPr>
          <w:color w:val="000000"/>
          <w:lang w:val="nl-NL"/>
        </w:rPr>
        <w:t>;</w:t>
      </w:r>
    </w:p>
    <w:p w:rsidR="00DC5777" w:rsidRDefault="00075594" w:rsidP="00181503">
      <w:pPr>
        <w:spacing w:before="120" w:after="120"/>
        <w:ind w:firstLine="567"/>
        <w:jc w:val="both"/>
        <w:rPr>
          <w:color w:val="000000"/>
          <w:lang w:val="nl-NL"/>
        </w:rPr>
      </w:pPr>
      <w:r>
        <w:rPr>
          <w:color w:val="000000"/>
          <w:lang w:val="nl-NL"/>
        </w:rPr>
        <w:t>i</w:t>
      </w:r>
      <w:r w:rsidR="00AF219B">
        <w:rPr>
          <w:color w:val="000000"/>
          <w:lang w:val="nl-NL"/>
        </w:rPr>
        <w:t xml:space="preserve">) </w:t>
      </w:r>
      <w:r>
        <w:rPr>
          <w:color w:val="000000"/>
          <w:lang w:val="nl-NL"/>
        </w:rPr>
        <w:t>Khách hàng có trách nhiệm bồi thường thiệt hại, thanh toán cho công ty chứng khoán m</w:t>
      </w:r>
      <w:r w:rsidR="00AF219B">
        <w:rPr>
          <w:color w:val="000000"/>
          <w:lang w:val="nl-NL"/>
        </w:rPr>
        <w:t xml:space="preserve">ọi chi phí phát sinh liên quan tới hoạt động mua bán bắt buộc, vay chứng khoán trên hệ thống </w:t>
      </w:r>
      <w:r>
        <w:rPr>
          <w:color w:val="000000"/>
          <w:lang w:val="nl-NL"/>
        </w:rPr>
        <w:t xml:space="preserve">để hỗ trợ thanh toán trong trường hợp </w:t>
      </w:r>
      <w:r w:rsidR="00AF219B">
        <w:rPr>
          <w:color w:val="000000"/>
          <w:lang w:val="nl-NL"/>
        </w:rPr>
        <w:t xml:space="preserve">không có đủ </w:t>
      </w:r>
      <w:r>
        <w:rPr>
          <w:color w:val="000000"/>
          <w:lang w:val="nl-NL"/>
        </w:rPr>
        <w:t xml:space="preserve">tiền để thanh toán, </w:t>
      </w:r>
      <w:r w:rsidR="00AF219B">
        <w:rPr>
          <w:color w:val="000000"/>
          <w:lang w:val="nl-NL"/>
        </w:rPr>
        <w:t>chứng khoán để ch</w:t>
      </w:r>
      <w:r>
        <w:rPr>
          <w:color w:val="000000"/>
          <w:lang w:val="nl-NL"/>
        </w:rPr>
        <w:t>uyển giao theo hợp đồng và theo quy định của pháp luật liên quan.</w:t>
      </w:r>
    </w:p>
    <w:p w:rsidR="00075594" w:rsidRDefault="00075594" w:rsidP="00181503">
      <w:pPr>
        <w:spacing w:before="120" w:after="120"/>
        <w:ind w:firstLine="567"/>
        <w:jc w:val="both"/>
        <w:rPr>
          <w:color w:val="000000"/>
          <w:lang w:val="nl-NL"/>
        </w:rPr>
      </w:pPr>
      <w:r>
        <w:rPr>
          <w:color w:val="000000"/>
          <w:lang w:val="nl-NL"/>
        </w:rPr>
        <w:t xml:space="preserve"> 7.</w:t>
      </w:r>
      <w:r w:rsidRPr="003445EE">
        <w:rPr>
          <w:color w:val="000000"/>
          <w:lang w:val="nl-NL"/>
        </w:rPr>
        <w:t xml:space="preserve"> Trong trường hợp cần thiết để đảm bảo bình ổn thị trường, Sở GDCK quyết định tạm ngừng giao dịch trong ngày sau khi được UBCKNN chấp thuận.</w:t>
      </w:r>
    </w:p>
    <w:p w:rsidR="005F68E4" w:rsidRPr="00112A92" w:rsidRDefault="005F68E4" w:rsidP="005F68E4">
      <w:pPr>
        <w:spacing w:before="120" w:after="120"/>
        <w:ind w:firstLine="567"/>
        <w:jc w:val="both"/>
        <w:rPr>
          <w:lang w:val="nl-NL"/>
        </w:rPr>
      </w:pPr>
      <w:r>
        <w:rPr>
          <w:lang w:val="nl-NL"/>
        </w:rPr>
        <w:t xml:space="preserve">8. Hoạt động giao dịch mua bán trong ngày dưới hình thức bán trước mua sau và hoạt động vay chứng khoán để hỗ trợ thanh toán không được phép thực hiện trong giai đoạn năm </w:t>
      </w:r>
      <w:r w:rsidR="00E32287">
        <w:rPr>
          <w:lang w:val="nl-NL"/>
        </w:rPr>
        <w:t>(0</w:t>
      </w:r>
      <w:r>
        <w:rPr>
          <w:lang w:val="nl-NL"/>
        </w:rPr>
        <w:t>5</w:t>
      </w:r>
      <w:r w:rsidR="00E32287">
        <w:rPr>
          <w:lang w:val="nl-NL"/>
        </w:rPr>
        <w:t>)</w:t>
      </w:r>
      <w:r>
        <w:rPr>
          <w:lang w:val="nl-NL"/>
        </w:rPr>
        <w:t xml:space="preserve"> ngày ngày giao dịch cuối cùng để chốt quyền cổ đông.</w:t>
      </w:r>
    </w:p>
    <w:p w:rsidR="008E75EB" w:rsidRPr="000E6671" w:rsidRDefault="008E75EB" w:rsidP="00181503">
      <w:pPr>
        <w:spacing w:before="120" w:after="100" w:afterAutospacing="1"/>
        <w:jc w:val="both"/>
        <w:rPr>
          <w:b/>
          <w:bCs/>
          <w:lang w:val="nl-NL"/>
        </w:rPr>
      </w:pPr>
      <w:r>
        <w:rPr>
          <w:b/>
          <w:bCs/>
          <w:lang w:val="nl-NL"/>
        </w:rPr>
        <w:t xml:space="preserve">             Điều </w:t>
      </w:r>
      <w:r w:rsidR="00624DF4">
        <w:rPr>
          <w:b/>
          <w:bCs/>
          <w:lang w:val="nl-NL"/>
        </w:rPr>
        <w:t>1</w:t>
      </w:r>
      <w:r w:rsidR="009013D5">
        <w:rPr>
          <w:b/>
          <w:bCs/>
          <w:lang w:val="nl-NL"/>
        </w:rPr>
        <w:t>2</w:t>
      </w:r>
      <w:r w:rsidRPr="000E6671">
        <w:rPr>
          <w:b/>
          <w:bCs/>
          <w:lang w:val="nl-NL"/>
        </w:rPr>
        <w:t xml:space="preserve">. Giao dịch </w:t>
      </w:r>
      <w:r>
        <w:rPr>
          <w:b/>
          <w:bCs/>
          <w:lang w:val="nl-NL"/>
        </w:rPr>
        <w:t>bị cấm</w:t>
      </w:r>
    </w:p>
    <w:p w:rsidR="008E75EB" w:rsidRDefault="008E75EB" w:rsidP="00181503">
      <w:pPr>
        <w:pStyle w:val="Heading2"/>
        <w:tabs>
          <w:tab w:val="clear" w:pos="644"/>
        </w:tabs>
        <w:spacing w:after="100" w:afterAutospacing="1"/>
        <w:ind w:left="0" w:firstLine="360"/>
        <w:jc w:val="both"/>
        <w:rPr>
          <w:rFonts w:ascii="Times New Roman" w:hAnsi="Times New Roman"/>
          <w:bCs/>
          <w:i w:val="0"/>
          <w:sz w:val="28"/>
          <w:szCs w:val="28"/>
          <w:lang w:val="nl-NL"/>
        </w:rPr>
      </w:pPr>
      <w:r>
        <w:rPr>
          <w:rFonts w:ascii="Times New Roman" w:hAnsi="Times New Roman"/>
          <w:bCs/>
          <w:i w:val="0"/>
          <w:sz w:val="28"/>
          <w:szCs w:val="28"/>
          <w:lang w:val="nl-NL"/>
        </w:rPr>
        <w:t xml:space="preserve">       1. </w:t>
      </w:r>
      <w:r w:rsidRPr="0016586E">
        <w:rPr>
          <w:rFonts w:ascii="Times New Roman" w:hAnsi="Times New Roman"/>
          <w:bCs/>
          <w:i w:val="0"/>
          <w:sz w:val="28"/>
          <w:szCs w:val="28"/>
          <w:lang w:val="nl-NL"/>
        </w:rPr>
        <w:t xml:space="preserve">Giao dịch </w:t>
      </w:r>
      <w:r>
        <w:rPr>
          <w:rFonts w:ascii="Times New Roman" w:hAnsi="Times New Roman"/>
          <w:bCs/>
          <w:i w:val="0"/>
          <w:sz w:val="28"/>
          <w:szCs w:val="28"/>
          <w:lang w:val="nl-NL"/>
        </w:rPr>
        <w:t>bị cấm quy định tại Điều 70 Nghị định 58/2012/NĐ-CP ngày 20/07/2012 bao gồm: giao dịch nội bộ, giao dịch thao túng thị trường và các giao dịch bị cấm khác theo quy định của pháp luật;</w:t>
      </w:r>
    </w:p>
    <w:p w:rsidR="008E75EB" w:rsidRDefault="008E75EB" w:rsidP="00B555C9">
      <w:pPr>
        <w:tabs>
          <w:tab w:val="center" w:pos="4441"/>
          <w:tab w:val="left" w:pos="7660"/>
        </w:tabs>
        <w:spacing w:before="120" w:after="100" w:afterAutospacing="1"/>
        <w:jc w:val="both"/>
        <w:rPr>
          <w:lang w:val="nl-NL"/>
        </w:rPr>
      </w:pPr>
      <w:r>
        <w:rPr>
          <w:lang w:val="nl-NL"/>
        </w:rPr>
        <w:t xml:space="preserve">     </w:t>
      </w:r>
      <w:r w:rsidRPr="00AB73FE">
        <w:rPr>
          <w:lang w:val="nl-NL"/>
        </w:rPr>
        <w:t xml:space="preserve"> </w:t>
      </w:r>
      <w:r>
        <w:rPr>
          <w:lang w:val="nl-NL"/>
        </w:rPr>
        <w:t xml:space="preserve">      2. Các hành vi vi phạm về giao dịch chứng khoán được xử lý theo quy định của pháp luật.</w:t>
      </w:r>
    </w:p>
    <w:p w:rsidR="008E75EB" w:rsidRDefault="008E75EB" w:rsidP="00181503">
      <w:pPr>
        <w:tabs>
          <w:tab w:val="center" w:pos="4441"/>
          <w:tab w:val="left" w:pos="7660"/>
        </w:tabs>
        <w:spacing w:before="120" w:after="100" w:afterAutospacing="1"/>
        <w:jc w:val="both"/>
        <w:rPr>
          <w:b/>
          <w:lang w:val="nl-NL"/>
        </w:rPr>
      </w:pPr>
      <w:r>
        <w:rPr>
          <w:b/>
          <w:lang w:val="nl-NL"/>
        </w:rPr>
        <w:t xml:space="preserve">            Điều </w:t>
      </w:r>
      <w:r w:rsidR="00646196">
        <w:rPr>
          <w:b/>
          <w:lang w:val="nl-NL"/>
        </w:rPr>
        <w:t>1</w:t>
      </w:r>
      <w:r w:rsidR="009013D5">
        <w:rPr>
          <w:b/>
          <w:lang w:val="nl-NL"/>
        </w:rPr>
        <w:t>3</w:t>
      </w:r>
      <w:r>
        <w:rPr>
          <w:b/>
          <w:lang w:val="nl-NL"/>
        </w:rPr>
        <w:t>. Chế độ báo cáo và giám sát</w:t>
      </w:r>
    </w:p>
    <w:p w:rsidR="008E75EB" w:rsidRDefault="008E75EB" w:rsidP="00181503">
      <w:pPr>
        <w:tabs>
          <w:tab w:val="center" w:pos="4441"/>
          <w:tab w:val="left" w:pos="7660"/>
        </w:tabs>
        <w:spacing w:before="120" w:after="100" w:afterAutospacing="1"/>
        <w:jc w:val="both"/>
        <w:rPr>
          <w:lang w:val="nl-NL"/>
        </w:rPr>
      </w:pPr>
      <w:r>
        <w:rPr>
          <w:lang w:val="nl-NL"/>
        </w:rPr>
        <w:t xml:space="preserve">           </w:t>
      </w:r>
      <w:r w:rsidRPr="000E22B6">
        <w:rPr>
          <w:lang w:val="nl-NL"/>
        </w:rPr>
        <w:t>1.</w:t>
      </w:r>
      <w:r>
        <w:rPr>
          <w:lang w:val="nl-NL"/>
        </w:rPr>
        <w:t xml:space="preserve"> SGDCK, TTLKCK thực hiện chế độ báo cáo tình hình giao dịch chứng khoán với UBCKNN.</w:t>
      </w:r>
    </w:p>
    <w:p w:rsidR="008E75EB" w:rsidRDefault="008E75EB" w:rsidP="00181503">
      <w:pPr>
        <w:tabs>
          <w:tab w:val="center" w:pos="4441"/>
          <w:tab w:val="left" w:pos="7660"/>
        </w:tabs>
        <w:spacing w:before="120" w:after="100" w:afterAutospacing="1"/>
        <w:jc w:val="both"/>
        <w:rPr>
          <w:lang w:val="nl-NL"/>
        </w:rPr>
      </w:pPr>
      <w:r>
        <w:rPr>
          <w:lang w:val="nl-NL"/>
        </w:rPr>
        <w:t xml:space="preserve">          </w:t>
      </w:r>
      <w:r w:rsidR="00F427E6">
        <w:rPr>
          <w:lang w:val="nl-NL"/>
        </w:rPr>
        <w:t xml:space="preserve"> </w:t>
      </w:r>
      <w:r>
        <w:rPr>
          <w:lang w:val="nl-NL"/>
        </w:rPr>
        <w:t xml:space="preserve"> 2. SGDCK, TTLKCK thuộc đối tượng giám sát của UBCKNN về giao dịch chứng khoán.</w:t>
      </w:r>
    </w:p>
    <w:p w:rsidR="00982890" w:rsidRDefault="00982890" w:rsidP="00181503">
      <w:pPr>
        <w:tabs>
          <w:tab w:val="center" w:pos="4441"/>
          <w:tab w:val="left" w:pos="7660"/>
        </w:tabs>
        <w:spacing w:before="120" w:after="100" w:afterAutospacing="1"/>
        <w:ind w:firstLine="560"/>
        <w:jc w:val="both"/>
        <w:rPr>
          <w:bCs/>
          <w:lang w:val="nl-NL"/>
        </w:rPr>
      </w:pPr>
      <w:r>
        <w:rPr>
          <w:bCs/>
          <w:lang w:val="nl-NL"/>
        </w:rPr>
        <w:t xml:space="preserve">    3. Công ty chứng khoán có nghĩa vụ báo cáo định kỳ, báo cáo theo yêu cầu về hoạt động giao dịch trong ngày với UBCKNN, SGDCK và TTLKCK. </w:t>
      </w:r>
    </w:p>
    <w:p w:rsidR="00982890" w:rsidRPr="00616322" w:rsidRDefault="00982890" w:rsidP="00181503">
      <w:pPr>
        <w:tabs>
          <w:tab w:val="center" w:pos="4441"/>
          <w:tab w:val="left" w:pos="7660"/>
        </w:tabs>
        <w:spacing w:before="120" w:after="100" w:afterAutospacing="1"/>
        <w:ind w:firstLine="560"/>
        <w:jc w:val="both"/>
        <w:rPr>
          <w:lang w:val="nl-NL"/>
        </w:rPr>
      </w:pPr>
      <w:r>
        <w:rPr>
          <w:bCs/>
          <w:lang w:val="nl-NL"/>
        </w:rPr>
        <w:t xml:space="preserve">     4. </w:t>
      </w:r>
      <w:r w:rsidRPr="00616322">
        <w:rPr>
          <w:lang w:val="nl-NL"/>
        </w:rPr>
        <w:t xml:space="preserve">SGDCK, TTLKCK, Công ty chứng khoán và các ngân hàng lưu ký chịu trách nhiệm kiểm tra tính hợp lệ; giám sát và theo dõi các lệnh giao dịch liên quan đến </w:t>
      </w:r>
      <w:r>
        <w:rPr>
          <w:lang w:val="nl-NL"/>
        </w:rPr>
        <w:t>giao dịch trong ngày</w:t>
      </w:r>
      <w:r w:rsidRPr="00616322">
        <w:rPr>
          <w:lang w:val="nl-NL"/>
        </w:rPr>
        <w:t>.</w:t>
      </w:r>
    </w:p>
    <w:p w:rsidR="0070760E" w:rsidRPr="003445EE" w:rsidRDefault="00A47649" w:rsidP="00181503">
      <w:pPr>
        <w:spacing w:before="120" w:after="120"/>
        <w:ind w:firstLine="567"/>
        <w:jc w:val="both"/>
        <w:rPr>
          <w:b/>
          <w:bCs/>
          <w:color w:val="000000"/>
          <w:lang w:val="nl-NL"/>
        </w:rPr>
      </w:pPr>
      <w:r w:rsidRPr="003445EE">
        <w:rPr>
          <w:b/>
          <w:bCs/>
          <w:color w:val="000000"/>
          <w:lang w:val="nl-NL"/>
        </w:rPr>
        <w:t xml:space="preserve">  </w:t>
      </w:r>
      <w:r w:rsidR="00970C5D" w:rsidRPr="003445EE">
        <w:rPr>
          <w:b/>
          <w:bCs/>
          <w:color w:val="000000"/>
          <w:lang w:val="nl-NL"/>
        </w:rPr>
        <w:t xml:space="preserve">  </w:t>
      </w:r>
      <w:r w:rsidR="0070760E" w:rsidRPr="003445EE">
        <w:rPr>
          <w:b/>
          <w:bCs/>
          <w:color w:val="000000"/>
          <w:lang w:val="nl-NL"/>
        </w:rPr>
        <w:t>Điều </w:t>
      </w:r>
      <w:bookmarkStart w:id="1" w:name="Dieu_7"/>
      <w:bookmarkEnd w:id="1"/>
      <w:r w:rsidR="00A57CD9" w:rsidRPr="003445EE">
        <w:rPr>
          <w:b/>
          <w:bCs/>
          <w:color w:val="000000"/>
          <w:lang w:val="nl-NL"/>
        </w:rPr>
        <w:t>1</w:t>
      </w:r>
      <w:r w:rsidR="009013D5">
        <w:rPr>
          <w:b/>
          <w:bCs/>
          <w:color w:val="000000"/>
          <w:lang w:val="nl-NL"/>
        </w:rPr>
        <w:t>4</w:t>
      </w:r>
      <w:r w:rsidR="0070760E" w:rsidRPr="003445EE">
        <w:rPr>
          <w:b/>
          <w:bCs/>
          <w:color w:val="000000"/>
          <w:lang w:val="nl-NL"/>
        </w:rPr>
        <w:t xml:space="preserve">. </w:t>
      </w:r>
      <w:r w:rsidR="003143F4">
        <w:rPr>
          <w:b/>
          <w:bCs/>
          <w:color w:val="000000"/>
          <w:lang w:val="nl-NL"/>
        </w:rPr>
        <w:t>Quy định</w:t>
      </w:r>
      <w:r w:rsidR="00162E48">
        <w:rPr>
          <w:b/>
          <w:bCs/>
          <w:color w:val="000000"/>
          <w:lang w:val="nl-NL"/>
        </w:rPr>
        <w:t xml:space="preserve"> </w:t>
      </w:r>
      <w:r w:rsidR="003143F4">
        <w:rPr>
          <w:b/>
          <w:bCs/>
          <w:color w:val="000000"/>
          <w:lang w:val="nl-NL"/>
        </w:rPr>
        <w:t xml:space="preserve">về </w:t>
      </w:r>
      <w:r w:rsidR="00112A92">
        <w:rPr>
          <w:b/>
          <w:bCs/>
          <w:color w:val="000000"/>
          <w:lang w:val="nl-NL"/>
        </w:rPr>
        <w:t>hỗ trợ thanh toán</w:t>
      </w:r>
    </w:p>
    <w:p w:rsidR="00162E48" w:rsidRDefault="00162E48" w:rsidP="00181503">
      <w:pPr>
        <w:spacing w:before="120"/>
        <w:ind w:firstLine="567"/>
        <w:jc w:val="both"/>
        <w:rPr>
          <w:lang w:val="nl-NL"/>
        </w:rPr>
      </w:pPr>
      <w:r>
        <w:rPr>
          <w:color w:val="000000"/>
          <w:lang w:val="nl-NL"/>
        </w:rPr>
        <w:t xml:space="preserve">   </w:t>
      </w:r>
      <w:r w:rsidR="00970C5D" w:rsidRPr="003445EE">
        <w:rPr>
          <w:color w:val="000000"/>
          <w:lang w:val="nl-NL"/>
        </w:rPr>
        <w:t xml:space="preserve">1. </w:t>
      </w:r>
      <w:r w:rsidR="00112A92">
        <w:rPr>
          <w:color w:val="000000"/>
          <w:lang w:val="nl-NL"/>
        </w:rPr>
        <w:t>T</w:t>
      </w:r>
      <w:r>
        <w:rPr>
          <w:color w:val="000000"/>
          <w:lang w:val="nl-NL"/>
        </w:rPr>
        <w:t xml:space="preserve">rường hợp </w:t>
      </w:r>
      <w:r w:rsidR="00970C5D" w:rsidRPr="003445EE">
        <w:rPr>
          <w:lang w:val="nl-NL"/>
        </w:rPr>
        <w:t xml:space="preserve">nhà đầu tư không </w:t>
      </w:r>
      <w:r>
        <w:rPr>
          <w:lang w:val="nl-NL"/>
        </w:rPr>
        <w:t xml:space="preserve">có đủ số chứng khoán để chuyển giao: </w:t>
      </w:r>
    </w:p>
    <w:p w:rsidR="00970C5D" w:rsidRDefault="00162E48" w:rsidP="00181503">
      <w:pPr>
        <w:spacing w:before="120"/>
        <w:ind w:firstLine="567"/>
        <w:jc w:val="both"/>
        <w:rPr>
          <w:lang w:val="nl-NL"/>
        </w:rPr>
      </w:pPr>
      <w:r>
        <w:rPr>
          <w:lang w:val="nl-NL"/>
        </w:rPr>
        <w:lastRenderedPageBreak/>
        <w:t xml:space="preserve">   a)  Ngay trong ngày giao dịch (ngày T), công ty chứng khoán có trách nhiệm cho nhà đầu tư vay lượng chứng khoán còn thiếu. Chứng khoán cho vay được lấy từ tài khoản tự doanh của công ty chứng khoán hoặc </w:t>
      </w:r>
      <w:r w:rsidR="00970C5D" w:rsidRPr="003445EE">
        <w:rPr>
          <w:color w:val="000000"/>
          <w:lang w:val="nl-NL"/>
        </w:rPr>
        <w:t xml:space="preserve">vay </w:t>
      </w:r>
      <w:r>
        <w:rPr>
          <w:color w:val="000000"/>
          <w:lang w:val="nl-NL"/>
        </w:rPr>
        <w:t>từ các thành viên khác, hoặc từ các nhà đầu tư khác phù hợp với quy định của pháp luật</w:t>
      </w:r>
      <w:r>
        <w:rPr>
          <w:lang w:val="nl-NL"/>
        </w:rPr>
        <w:t>;</w:t>
      </w:r>
    </w:p>
    <w:p w:rsidR="00162E48" w:rsidRDefault="00DC5777" w:rsidP="00181503">
      <w:pPr>
        <w:spacing w:before="120"/>
        <w:ind w:firstLine="567"/>
        <w:jc w:val="both"/>
        <w:rPr>
          <w:lang w:val="nl-NL"/>
        </w:rPr>
      </w:pPr>
      <w:r>
        <w:rPr>
          <w:lang w:val="nl-NL"/>
        </w:rPr>
        <w:t xml:space="preserve">  </w:t>
      </w:r>
      <w:r w:rsidR="00162E48">
        <w:rPr>
          <w:lang w:val="nl-NL"/>
        </w:rPr>
        <w:t>b) Tại ngày làm việc tiếp theo (ngày T+1), nếu nhà đầu tư tiếp tục không có đủ số chứng khoán để chuyển giao từ các giao dịch đã thực hiện tại ngày giao dịch (ngày T), công ty chứng khoán có trách nhiệm yết giá để thực hiện các giao dịch mua bắt buộc trên hệ thống giao dịch của SGDCK hoặc TTLKCK</w:t>
      </w:r>
      <w:r>
        <w:rPr>
          <w:lang w:val="nl-NL"/>
        </w:rPr>
        <w:t xml:space="preserve"> theo quy định tại Khoản 2 Điều này;</w:t>
      </w:r>
      <w:r w:rsidR="00162E48">
        <w:rPr>
          <w:lang w:val="nl-NL"/>
        </w:rPr>
        <w:t xml:space="preserve"> </w:t>
      </w:r>
    </w:p>
    <w:p w:rsidR="00162E48" w:rsidRDefault="00162E48" w:rsidP="00181503">
      <w:pPr>
        <w:spacing w:before="120"/>
        <w:ind w:firstLine="567"/>
        <w:jc w:val="both"/>
        <w:rPr>
          <w:lang w:val="nl-NL"/>
        </w:rPr>
      </w:pPr>
      <w:r>
        <w:rPr>
          <w:lang w:val="nl-NL"/>
        </w:rPr>
        <w:t xml:space="preserve"> </w:t>
      </w:r>
      <w:r w:rsidR="00DC5777">
        <w:rPr>
          <w:lang w:val="nl-NL"/>
        </w:rPr>
        <w:t xml:space="preserve"> </w:t>
      </w:r>
      <w:r>
        <w:rPr>
          <w:lang w:val="nl-NL"/>
        </w:rPr>
        <w:t xml:space="preserve">c) Tại ngày thanh toán (ngày T+2), nếu </w:t>
      </w:r>
      <w:r w:rsidR="00DC5777">
        <w:rPr>
          <w:lang w:val="nl-NL"/>
        </w:rPr>
        <w:t xml:space="preserve">nhà đầu tư tiếp tục không có đủ số chứng khoán để chuyển giao từ các giao dịch đã thực hiện tại ngày giao dịch (ngày T), công ty chứng khoán phải thực hiện các lệnh vay chứng khoán trên hệ thống của TTLKCK theo quy </w:t>
      </w:r>
      <w:r w:rsidR="00112A92">
        <w:rPr>
          <w:lang w:val="nl-NL"/>
        </w:rPr>
        <w:t>chế của Trung tâm Lưu ký chứng khoán.</w:t>
      </w:r>
    </w:p>
    <w:p w:rsidR="00DC5777" w:rsidRDefault="00DC5777" w:rsidP="00181503">
      <w:pPr>
        <w:spacing w:before="120"/>
        <w:ind w:firstLine="567"/>
        <w:jc w:val="both"/>
        <w:rPr>
          <w:color w:val="000000"/>
          <w:lang w:val="nl-NL"/>
        </w:rPr>
      </w:pPr>
      <w:r>
        <w:rPr>
          <w:color w:val="000000"/>
          <w:lang w:val="nl-NL"/>
        </w:rPr>
        <w:t xml:space="preserve">  2. Giao dịch mua bán bắt buộc được công ty chứng khoán thực hiện từ tài khoản giao dịch riêng được mở theo quy định tại Điểm b Khoản 4 Điều 7 Thông tư này và tuân thủ nguyên tắc sau: </w:t>
      </w:r>
    </w:p>
    <w:p w:rsidR="00DC5777" w:rsidRDefault="00DC5777" w:rsidP="00181503">
      <w:pPr>
        <w:spacing w:before="120"/>
        <w:ind w:firstLine="567"/>
        <w:jc w:val="both"/>
        <w:rPr>
          <w:color w:val="000000"/>
          <w:lang w:val="nl-NL"/>
        </w:rPr>
      </w:pPr>
      <w:r>
        <w:rPr>
          <w:color w:val="000000"/>
          <w:lang w:val="nl-NL"/>
        </w:rPr>
        <w:t xml:space="preserve">a) Hoạt động giao dịch mua bán bắt buộc được thực hiện trên hệ thống của Sở giao dịch chứng khoán hoặc hệ thống chuyển nhượng của Trung tâm Lưu ký chứng khoán (trong trường hợp Sở giao dịch chứng khoán chưa thiết lập hệ thống giao dịch mua bán bắt buộc); </w:t>
      </w:r>
    </w:p>
    <w:p w:rsidR="00DC5777" w:rsidRDefault="00DC5777" w:rsidP="00181503">
      <w:pPr>
        <w:spacing w:before="120"/>
        <w:ind w:firstLine="567"/>
        <w:jc w:val="both"/>
        <w:rPr>
          <w:color w:val="000000"/>
          <w:lang w:val="nl-NL"/>
        </w:rPr>
      </w:pPr>
      <w:r>
        <w:rPr>
          <w:color w:val="000000"/>
          <w:lang w:val="nl-NL"/>
        </w:rPr>
        <w:t xml:space="preserve">b) Quy trình mua bán bắt buộc được thực hiện theo quy chế của Sở giao dịch chứng khoán hoặc Trung tâm Lưu ký chứng khoán. Việc thanh toán và chuyển giao chứng khoán được thực hiện ngay trong ngày lệnh giao dịch được khớp; </w:t>
      </w:r>
    </w:p>
    <w:p w:rsidR="00891C5B" w:rsidRPr="00112A92" w:rsidRDefault="00DC5777" w:rsidP="00181503">
      <w:pPr>
        <w:spacing w:before="120"/>
        <w:ind w:firstLine="567"/>
        <w:jc w:val="both"/>
        <w:rPr>
          <w:color w:val="000000"/>
          <w:lang w:val="nl-NL"/>
        </w:rPr>
      </w:pPr>
      <w:r>
        <w:rPr>
          <w:color w:val="000000"/>
          <w:lang w:val="nl-NL"/>
        </w:rPr>
        <w:t xml:space="preserve"> </w:t>
      </w:r>
      <w:r w:rsidR="00112A92">
        <w:rPr>
          <w:color w:val="000000"/>
          <w:lang w:val="nl-NL"/>
        </w:rPr>
        <w:t>c) Mức giá giao dịch mua bán bắt buộc được điều chỉnh tăng</w:t>
      </w:r>
      <w:r w:rsidR="00C25625">
        <w:rPr>
          <w:color w:val="000000"/>
          <w:lang w:val="nl-NL"/>
        </w:rPr>
        <w:t>/giảm</w:t>
      </w:r>
      <w:r w:rsidR="00112A92">
        <w:rPr>
          <w:color w:val="000000"/>
          <w:lang w:val="nl-NL"/>
        </w:rPr>
        <w:t xml:space="preserve"> tùy thuộc vào thời gian yết giá theo quy chế của Sở giao dịch chứng khoán hoặc Trung tâm Lưu ký chứng khoán.</w:t>
      </w:r>
    </w:p>
    <w:p w:rsidR="0070760E" w:rsidRDefault="00112A92" w:rsidP="00181503">
      <w:pPr>
        <w:spacing w:before="120" w:after="120"/>
        <w:ind w:firstLine="567"/>
        <w:jc w:val="both"/>
        <w:rPr>
          <w:color w:val="000000"/>
          <w:lang w:val="nl-NL"/>
        </w:rPr>
      </w:pPr>
      <w:r>
        <w:rPr>
          <w:color w:val="000000"/>
          <w:lang w:val="nl-NL"/>
        </w:rPr>
        <w:t xml:space="preserve"> 3</w:t>
      </w:r>
      <w:r w:rsidR="0070760E" w:rsidRPr="003445EE">
        <w:rPr>
          <w:color w:val="000000"/>
          <w:lang w:val="nl-NL"/>
        </w:rPr>
        <w:t>.</w:t>
      </w:r>
      <w:r>
        <w:rPr>
          <w:color w:val="000000"/>
          <w:lang w:val="nl-NL"/>
        </w:rPr>
        <w:t xml:space="preserve"> Trường hợp nhà đầu tư không có đủ tiền để thanh toán cho</w:t>
      </w:r>
      <w:r w:rsidR="0070760E" w:rsidRPr="003445EE">
        <w:rPr>
          <w:color w:val="000000"/>
          <w:lang w:val="nl-NL"/>
        </w:rPr>
        <w:t xml:space="preserve"> </w:t>
      </w:r>
      <w:r>
        <w:rPr>
          <w:color w:val="000000"/>
          <w:lang w:val="nl-NL"/>
        </w:rPr>
        <w:t>số</w:t>
      </w:r>
      <w:r w:rsidR="0070760E" w:rsidRPr="003445EE">
        <w:rPr>
          <w:lang w:val="nl-NL"/>
        </w:rPr>
        <w:t xml:space="preserve"> chứng khoán </w:t>
      </w:r>
      <w:r>
        <w:rPr>
          <w:lang w:val="nl-NL"/>
        </w:rPr>
        <w:t>đã mua mà chưa kịp bán (đối với giao dịch trong ngày)</w:t>
      </w:r>
      <w:r w:rsidR="0070760E" w:rsidRPr="003445EE">
        <w:rPr>
          <w:lang w:val="nl-NL"/>
        </w:rPr>
        <w:t xml:space="preserve">, công ty chứng khoán </w:t>
      </w:r>
      <w:r>
        <w:rPr>
          <w:lang w:val="nl-NL"/>
        </w:rPr>
        <w:t xml:space="preserve">được </w:t>
      </w:r>
      <w:r w:rsidR="0070760E" w:rsidRPr="003445EE">
        <w:rPr>
          <w:lang w:val="nl-NL"/>
        </w:rPr>
        <w:t>yêu cầu nhà đầu tư ký quỹ bổ sung.</w:t>
      </w:r>
      <w:r w:rsidR="0070760E" w:rsidRPr="003445EE">
        <w:rPr>
          <w:color w:val="000000"/>
          <w:lang w:val="nl-NL"/>
        </w:rPr>
        <w:t xml:space="preserve"> Trường hợp nhà đầu tư không thể thực hiện ký quỹ bổ sung, công ty chứng khoán </w:t>
      </w:r>
      <w:r>
        <w:rPr>
          <w:color w:val="000000"/>
          <w:lang w:val="nl-NL"/>
        </w:rPr>
        <w:t>thực hiện các thủ tục, bảo đảm có đủ tiền để thanh toán cho đối tác giao dịch tại ngày thanh toán</w:t>
      </w:r>
      <w:r w:rsidR="0055599E" w:rsidRPr="003445EE">
        <w:rPr>
          <w:color w:val="000000"/>
          <w:lang w:val="nl-NL"/>
        </w:rPr>
        <w:t>.</w:t>
      </w:r>
    </w:p>
    <w:p w:rsidR="00A118DF" w:rsidRPr="003445EE" w:rsidRDefault="006D66A1" w:rsidP="00181503">
      <w:pPr>
        <w:spacing w:before="120" w:after="120"/>
        <w:ind w:firstLine="567"/>
        <w:jc w:val="both"/>
        <w:rPr>
          <w:color w:val="000000"/>
          <w:lang w:val="nl-NL"/>
        </w:rPr>
      </w:pPr>
      <w:r w:rsidRPr="003445EE">
        <w:rPr>
          <w:color w:val="000000"/>
          <w:lang w:val="nl-NL"/>
        </w:rPr>
        <w:t xml:space="preserve">  </w:t>
      </w:r>
      <w:r w:rsidR="00057115" w:rsidRPr="003445EE">
        <w:rPr>
          <w:b/>
          <w:bCs/>
          <w:color w:val="000000"/>
          <w:lang w:val="nl-NL"/>
        </w:rPr>
        <w:t xml:space="preserve">  </w:t>
      </w:r>
      <w:r w:rsidR="0035798D" w:rsidRPr="003445EE">
        <w:rPr>
          <w:b/>
          <w:bCs/>
          <w:color w:val="000000"/>
          <w:lang w:val="nl-NL"/>
        </w:rPr>
        <w:t xml:space="preserve"> </w:t>
      </w:r>
    </w:p>
    <w:p w:rsidR="00F779D9" w:rsidRDefault="00A7309E" w:rsidP="00181503">
      <w:pPr>
        <w:tabs>
          <w:tab w:val="center" w:pos="4441"/>
          <w:tab w:val="left" w:pos="7660"/>
        </w:tabs>
        <w:spacing w:before="120" w:after="100" w:afterAutospacing="1"/>
        <w:jc w:val="center"/>
        <w:rPr>
          <w:b/>
          <w:bCs/>
          <w:lang w:val="nl-NL"/>
        </w:rPr>
      </w:pPr>
      <w:r>
        <w:rPr>
          <w:b/>
          <w:bCs/>
          <w:lang w:val="nl-NL"/>
        </w:rPr>
        <w:t>C</w:t>
      </w:r>
      <w:r w:rsidR="00CD7AC7">
        <w:rPr>
          <w:b/>
          <w:bCs/>
          <w:lang w:val="nl-NL"/>
        </w:rPr>
        <w:t>hương IV</w:t>
      </w:r>
    </w:p>
    <w:p w:rsidR="000D245E" w:rsidRPr="000E6671" w:rsidRDefault="00A7309E" w:rsidP="00181503">
      <w:pPr>
        <w:spacing w:before="120" w:after="100" w:afterAutospacing="1"/>
        <w:ind w:left="357"/>
        <w:jc w:val="center"/>
        <w:rPr>
          <w:b/>
          <w:bCs/>
          <w:lang w:val="nl-NL"/>
        </w:rPr>
      </w:pPr>
      <w:r>
        <w:rPr>
          <w:b/>
          <w:bCs/>
          <w:lang w:val="nl-NL"/>
        </w:rPr>
        <w:t xml:space="preserve"> </w:t>
      </w:r>
      <w:r w:rsidR="000D245E" w:rsidRPr="000E6671">
        <w:rPr>
          <w:b/>
          <w:bCs/>
          <w:lang w:val="nl-NL"/>
        </w:rPr>
        <w:t>TỔ CHỨC THỰC HIỆN</w:t>
      </w:r>
    </w:p>
    <w:p w:rsidR="000D245E" w:rsidRPr="000E6671" w:rsidRDefault="00F779D9" w:rsidP="00181503">
      <w:pPr>
        <w:spacing w:before="120" w:after="100" w:afterAutospacing="1"/>
        <w:jc w:val="both"/>
        <w:rPr>
          <w:b/>
          <w:bCs/>
          <w:lang w:val="nl-NL"/>
        </w:rPr>
      </w:pPr>
      <w:r>
        <w:rPr>
          <w:b/>
          <w:bCs/>
          <w:lang w:val="nl-NL"/>
        </w:rPr>
        <w:t xml:space="preserve">            </w:t>
      </w:r>
      <w:r w:rsidR="00A7309E">
        <w:rPr>
          <w:b/>
          <w:bCs/>
          <w:lang w:val="nl-NL"/>
        </w:rPr>
        <w:t xml:space="preserve">Điều </w:t>
      </w:r>
      <w:r w:rsidR="003F040F">
        <w:rPr>
          <w:b/>
          <w:bCs/>
          <w:lang w:val="nl-NL"/>
        </w:rPr>
        <w:t>1</w:t>
      </w:r>
      <w:r w:rsidR="009013D5">
        <w:rPr>
          <w:b/>
          <w:bCs/>
          <w:lang w:val="nl-NL"/>
        </w:rPr>
        <w:t>5</w:t>
      </w:r>
      <w:r w:rsidR="000D245E" w:rsidRPr="000E6671">
        <w:rPr>
          <w:b/>
          <w:bCs/>
          <w:lang w:val="nl-NL"/>
        </w:rPr>
        <w:t>. Điều khoản thi hành</w:t>
      </w:r>
    </w:p>
    <w:p w:rsidR="00800C1F" w:rsidRDefault="00F779D9" w:rsidP="00181503">
      <w:pPr>
        <w:spacing w:before="120" w:after="100" w:afterAutospacing="1"/>
        <w:ind w:firstLine="720"/>
        <w:jc w:val="both"/>
        <w:rPr>
          <w:lang w:val="nl-NL"/>
        </w:rPr>
      </w:pPr>
      <w:r>
        <w:rPr>
          <w:lang w:val="nl-NL" w:eastAsia="fr-FR"/>
        </w:rPr>
        <w:t xml:space="preserve">  </w:t>
      </w:r>
      <w:r w:rsidR="00800C1F" w:rsidRPr="00BB0D73">
        <w:rPr>
          <w:lang w:val="nl-NL"/>
        </w:rPr>
        <w:t xml:space="preserve">Thông tư này có hiệu lực thi hành </w:t>
      </w:r>
      <w:r w:rsidR="00800C1F">
        <w:rPr>
          <w:lang w:val="nl-NL"/>
        </w:rPr>
        <w:t xml:space="preserve">kể từ ngày     tháng  </w:t>
      </w:r>
      <w:r w:rsidR="004C2BB2">
        <w:rPr>
          <w:lang w:val="nl-NL"/>
        </w:rPr>
        <w:t xml:space="preserve"> </w:t>
      </w:r>
      <w:r w:rsidR="00800C1F">
        <w:rPr>
          <w:lang w:val="nl-NL"/>
        </w:rPr>
        <w:t xml:space="preserve">  năm 201</w:t>
      </w:r>
      <w:r w:rsidR="00E3048C">
        <w:rPr>
          <w:lang w:val="nl-NL"/>
        </w:rPr>
        <w:t>5</w:t>
      </w:r>
      <w:r w:rsidR="00800C1F">
        <w:rPr>
          <w:lang w:val="nl-NL"/>
        </w:rPr>
        <w:t xml:space="preserve"> và thay thế Thông tư số </w:t>
      </w:r>
      <w:r w:rsidR="00C857D8">
        <w:rPr>
          <w:lang w:val="nl-NL"/>
        </w:rPr>
        <w:t>74</w:t>
      </w:r>
      <w:r w:rsidR="00800C1F">
        <w:rPr>
          <w:lang w:val="nl-NL"/>
        </w:rPr>
        <w:t>/20</w:t>
      </w:r>
      <w:r w:rsidR="00C857D8">
        <w:rPr>
          <w:lang w:val="nl-NL"/>
        </w:rPr>
        <w:t>11</w:t>
      </w:r>
      <w:r w:rsidR="00800C1F">
        <w:rPr>
          <w:lang w:val="nl-NL"/>
        </w:rPr>
        <w:t xml:space="preserve">/TT-BTC ngày </w:t>
      </w:r>
      <w:r w:rsidR="00C857D8">
        <w:rPr>
          <w:lang w:val="nl-NL"/>
        </w:rPr>
        <w:t>01</w:t>
      </w:r>
      <w:r w:rsidR="00800C1F">
        <w:rPr>
          <w:lang w:val="nl-NL"/>
        </w:rPr>
        <w:t>/0</w:t>
      </w:r>
      <w:r w:rsidR="00C857D8">
        <w:rPr>
          <w:lang w:val="nl-NL"/>
        </w:rPr>
        <w:t>6</w:t>
      </w:r>
      <w:r w:rsidR="00800C1F">
        <w:rPr>
          <w:lang w:val="nl-NL"/>
        </w:rPr>
        <w:t>/20</w:t>
      </w:r>
      <w:r w:rsidR="00FC2936">
        <w:rPr>
          <w:lang w:val="nl-NL"/>
        </w:rPr>
        <w:t>11</w:t>
      </w:r>
      <w:r w:rsidR="000672A9">
        <w:rPr>
          <w:lang w:val="nl-NL"/>
        </w:rPr>
        <w:t xml:space="preserve"> về Hướng dẫn giao dịch trên thị trường chứng khoán</w:t>
      </w:r>
      <w:r w:rsidR="00800C1F">
        <w:rPr>
          <w:lang w:val="nl-NL"/>
        </w:rPr>
        <w:t>.</w:t>
      </w:r>
    </w:p>
    <w:p w:rsidR="00845BCE" w:rsidRPr="001A4116" w:rsidRDefault="001A4116" w:rsidP="00181503">
      <w:pPr>
        <w:spacing w:before="120" w:after="100" w:afterAutospacing="1"/>
        <w:ind w:firstLine="720"/>
        <w:jc w:val="both"/>
        <w:rPr>
          <w:b/>
          <w:lang w:val="nl-NL" w:eastAsia="fr-FR"/>
        </w:rPr>
      </w:pPr>
      <w:r>
        <w:rPr>
          <w:b/>
          <w:lang w:val="nl-NL" w:eastAsia="fr-FR"/>
        </w:rPr>
        <w:lastRenderedPageBreak/>
        <w:t xml:space="preserve"> </w:t>
      </w:r>
      <w:r w:rsidR="00EB0F1F">
        <w:rPr>
          <w:b/>
          <w:lang w:val="nl-NL" w:eastAsia="fr-FR"/>
        </w:rPr>
        <w:t xml:space="preserve"> </w:t>
      </w:r>
      <w:r w:rsidR="00F779D9" w:rsidRPr="001A4116">
        <w:rPr>
          <w:b/>
          <w:lang w:val="nl-NL" w:eastAsia="fr-FR"/>
        </w:rPr>
        <w:t xml:space="preserve"> </w:t>
      </w:r>
      <w:r w:rsidR="00845BCE" w:rsidRPr="001A4116">
        <w:rPr>
          <w:b/>
          <w:lang w:val="nl-NL" w:eastAsia="fr-FR"/>
        </w:rPr>
        <w:t xml:space="preserve">Điều </w:t>
      </w:r>
      <w:r w:rsidR="00952705">
        <w:rPr>
          <w:b/>
          <w:lang w:val="nl-NL" w:eastAsia="fr-FR"/>
        </w:rPr>
        <w:t>1</w:t>
      </w:r>
      <w:r w:rsidR="009013D5">
        <w:rPr>
          <w:b/>
          <w:lang w:val="nl-NL" w:eastAsia="fr-FR"/>
        </w:rPr>
        <w:t>6</w:t>
      </w:r>
      <w:r w:rsidR="00845BCE" w:rsidRPr="001A4116">
        <w:rPr>
          <w:b/>
          <w:lang w:val="nl-NL" w:eastAsia="fr-FR"/>
        </w:rPr>
        <w:t>. Tổ chức thực hiện</w:t>
      </w:r>
    </w:p>
    <w:p w:rsidR="00845BCE" w:rsidRDefault="00845BCE" w:rsidP="00181503">
      <w:pPr>
        <w:spacing w:before="120" w:after="100" w:afterAutospacing="1"/>
        <w:ind w:firstLine="720"/>
        <w:jc w:val="both"/>
        <w:rPr>
          <w:lang w:val="nl-NL"/>
        </w:rPr>
      </w:pPr>
      <w:r>
        <w:rPr>
          <w:lang w:val="nl-NL" w:eastAsia="fr-FR"/>
        </w:rPr>
        <w:t xml:space="preserve"> </w:t>
      </w:r>
      <w:r w:rsidR="00576A7B">
        <w:rPr>
          <w:lang w:val="nl-NL" w:eastAsia="fr-FR"/>
        </w:rPr>
        <w:t xml:space="preserve">  </w:t>
      </w:r>
      <w:r>
        <w:rPr>
          <w:lang w:val="nl-NL" w:eastAsia="fr-FR"/>
        </w:rPr>
        <w:t xml:space="preserve">1. </w:t>
      </w:r>
      <w:r w:rsidR="00590650">
        <w:rPr>
          <w:lang w:val="nl-NL" w:eastAsia="fr-FR"/>
        </w:rPr>
        <w:t xml:space="preserve">UBCKNN, </w:t>
      </w:r>
      <w:r>
        <w:rPr>
          <w:lang w:val="nl-NL"/>
        </w:rPr>
        <w:t>Các Sở Gi</w:t>
      </w:r>
      <w:r w:rsidR="00A438D8">
        <w:rPr>
          <w:lang w:val="nl-NL"/>
        </w:rPr>
        <w:t>ao dịch Chứng khoán, Trung tâm L</w:t>
      </w:r>
      <w:r>
        <w:rPr>
          <w:lang w:val="nl-NL"/>
        </w:rPr>
        <w:t>ưu ký chứng khoán, Công ty chứng khoán, công ty quản lý quỹ, công ty đầu tư chứng khoán, các tổ chức, cá nhân khác có liên quan chịu trách nhiệm thi hành Thông tư này.</w:t>
      </w:r>
    </w:p>
    <w:p w:rsidR="004828E1" w:rsidRDefault="00D63AA4" w:rsidP="00181503">
      <w:pPr>
        <w:pStyle w:val="Heading2"/>
        <w:numPr>
          <w:ilvl w:val="1"/>
          <w:numId w:val="0"/>
        </w:numPr>
        <w:tabs>
          <w:tab w:val="num" w:pos="644"/>
        </w:tabs>
        <w:spacing w:after="100" w:afterAutospacing="1"/>
        <w:ind w:firstLine="562"/>
        <w:jc w:val="both"/>
        <w:rPr>
          <w:rFonts w:ascii="Times New Roman" w:hAnsi="Times New Roman"/>
          <w:i w:val="0"/>
          <w:iCs w:val="0"/>
          <w:sz w:val="28"/>
          <w:szCs w:val="28"/>
          <w:lang w:val="nl-NL" w:eastAsia="fr-FR"/>
        </w:rPr>
      </w:pPr>
      <w:r>
        <w:rPr>
          <w:rFonts w:ascii="Times New Roman" w:hAnsi="Times New Roman"/>
          <w:i w:val="0"/>
          <w:iCs w:val="0"/>
          <w:sz w:val="28"/>
          <w:szCs w:val="28"/>
          <w:lang w:val="nl-NL" w:eastAsia="fr-FR"/>
        </w:rPr>
        <w:t xml:space="preserve">  </w:t>
      </w:r>
      <w:r>
        <w:rPr>
          <w:rFonts w:ascii="Times New Roman" w:hAnsi="Times New Roman"/>
          <w:i w:val="0"/>
          <w:iCs w:val="0"/>
          <w:sz w:val="28"/>
          <w:szCs w:val="28"/>
          <w:lang w:val="nl-NL" w:eastAsia="fr-FR"/>
        </w:rPr>
        <w:tab/>
      </w:r>
      <w:r w:rsidR="00576A7B">
        <w:rPr>
          <w:rFonts w:ascii="Times New Roman" w:hAnsi="Times New Roman"/>
          <w:i w:val="0"/>
          <w:iCs w:val="0"/>
          <w:sz w:val="28"/>
          <w:szCs w:val="28"/>
          <w:lang w:val="nl-NL" w:eastAsia="fr-FR"/>
        </w:rPr>
        <w:t xml:space="preserve">  </w:t>
      </w:r>
      <w:r w:rsidR="00F93098">
        <w:rPr>
          <w:rFonts w:ascii="Times New Roman" w:hAnsi="Times New Roman"/>
          <w:i w:val="0"/>
          <w:iCs w:val="0"/>
          <w:sz w:val="28"/>
          <w:szCs w:val="28"/>
          <w:lang w:val="nl-NL" w:eastAsia="fr-FR"/>
        </w:rPr>
        <w:t xml:space="preserve"> 2</w:t>
      </w:r>
      <w:r w:rsidR="000D245E" w:rsidRPr="000E6671">
        <w:rPr>
          <w:rFonts w:ascii="Times New Roman" w:hAnsi="Times New Roman"/>
          <w:i w:val="0"/>
          <w:iCs w:val="0"/>
          <w:sz w:val="28"/>
          <w:szCs w:val="28"/>
          <w:lang w:val="nl-NL" w:eastAsia="fr-FR"/>
        </w:rPr>
        <w:t>. Việc sửa đổi, bổ sung Thông tư này do Bộ trưởng Bộ Tài chính quyết định.</w:t>
      </w:r>
    </w:p>
    <w:p w:rsidR="000D245E" w:rsidRPr="000E6671" w:rsidRDefault="000D245E" w:rsidP="00B555C9">
      <w:pPr>
        <w:tabs>
          <w:tab w:val="left" w:pos="6804"/>
        </w:tabs>
        <w:rPr>
          <w:b/>
          <w:bCs/>
          <w:sz w:val="26"/>
          <w:szCs w:val="26"/>
          <w:lang w:val="nl-NL"/>
        </w:rPr>
      </w:pPr>
      <w:r w:rsidRPr="000E6671">
        <w:rPr>
          <w:b/>
          <w:bCs/>
          <w:i/>
          <w:iCs/>
          <w:sz w:val="24"/>
          <w:szCs w:val="24"/>
          <w:lang w:val="nl-NL"/>
        </w:rPr>
        <w:t xml:space="preserve">Nơi nhận:                                                                          </w:t>
      </w:r>
      <w:r w:rsidRPr="000E6671">
        <w:rPr>
          <w:b/>
          <w:bCs/>
          <w:sz w:val="26"/>
          <w:szCs w:val="26"/>
          <w:lang w:val="nl-NL"/>
        </w:rPr>
        <w:t xml:space="preserve">         </w:t>
      </w:r>
      <w:r w:rsidR="00BB5F6E">
        <w:rPr>
          <w:b/>
          <w:bCs/>
          <w:sz w:val="26"/>
          <w:szCs w:val="26"/>
          <w:lang w:val="nl-NL"/>
        </w:rPr>
        <w:t xml:space="preserve">  </w:t>
      </w:r>
      <w:r w:rsidR="004F7AA7">
        <w:rPr>
          <w:b/>
          <w:bCs/>
          <w:sz w:val="26"/>
          <w:szCs w:val="26"/>
          <w:lang w:val="nl-NL"/>
        </w:rPr>
        <w:t xml:space="preserve">     </w:t>
      </w:r>
      <w:r w:rsidR="007801A2">
        <w:rPr>
          <w:b/>
          <w:bCs/>
          <w:sz w:val="26"/>
          <w:szCs w:val="26"/>
          <w:lang w:val="nl-NL"/>
        </w:rPr>
        <w:t xml:space="preserve"> </w:t>
      </w:r>
      <w:r w:rsidRPr="000E6671">
        <w:rPr>
          <w:b/>
          <w:bCs/>
          <w:sz w:val="26"/>
          <w:szCs w:val="26"/>
          <w:lang w:val="nl-NL"/>
        </w:rPr>
        <w:t>KT.</w:t>
      </w:r>
      <w:r w:rsidR="000F2E51">
        <w:rPr>
          <w:b/>
          <w:bCs/>
          <w:sz w:val="26"/>
          <w:szCs w:val="26"/>
          <w:lang w:val="nl-NL"/>
        </w:rPr>
        <w:t xml:space="preserve"> </w:t>
      </w:r>
      <w:r w:rsidRPr="000E6671">
        <w:rPr>
          <w:b/>
          <w:bCs/>
          <w:sz w:val="26"/>
          <w:szCs w:val="26"/>
          <w:lang w:val="nl-NL"/>
        </w:rPr>
        <w:t>BỘ TRƯỞNG</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Văn phòng Chính phủ;</w:t>
      </w:r>
      <w:r w:rsidR="000F2E51">
        <w:rPr>
          <w:sz w:val="22"/>
          <w:szCs w:val="22"/>
          <w:lang w:val="nl-NL"/>
        </w:rPr>
        <w:t xml:space="preserve"> Văn phòng Tổng Bí Thư;</w:t>
      </w:r>
      <w:r w:rsidRPr="000E6671">
        <w:rPr>
          <w:sz w:val="22"/>
          <w:szCs w:val="22"/>
          <w:lang w:val="nl-NL"/>
        </w:rPr>
        <w:t xml:space="preserve">                         </w:t>
      </w:r>
      <w:r w:rsidR="009011EC">
        <w:rPr>
          <w:sz w:val="22"/>
          <w:szCs w:val="22"/>
          <w:lang w:val="nl-NL"/>
        </w:rPr>
        <w:t xml:space="preserve"> </w:t>
      </w:r>
      <w:r w:rsidR="00BA7C9D">
        <w:rPr>
          <w:sz w:val="22"/>
          <w:szCs w:val="22"/>
          <w:lang w:val="nl-NL"/>
        </w:rPr>
        <w:t xml:space="preserve">       </w:t>
      </w:r>
      <w:r w:rsidR="0089702E">
        <w:rPr>
          <w:sz w:val="22"/>
          <w:szCs w:val="22"/>
          <w:lang w:val="nl-NL"/>
        </w:rPr>
        <w:t xml:space="preserve"> </w:t>
      </w:r>
      <w:r w:rsidRPr="000E6671">
        <w:rPr>
          <w:b/>
          <w:bCs/>
          <w:sz w:val="26"/>
          <w:szCs w:val="26"/>
          <w:lang w:val="nl-NL"/>
        </w:rPr>
        <w:t>THỨ TRƯỞNG</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Văn phòng Trung ương và các Ban của Đảng;</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Văn phòng Quốc hội;</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Văn phòng Chủ tịch nước;</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Các Bộ, cơ quan ngang Bộ, cơ quan thuộc Chính phủ;</w:t>
      </w:r>
    </w:p>
    <w:p w:rsidR="000D245E"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HĐND, UBND các tỉnh, thành phố trực thuộc Trung ương;</w:t>
      </w:r>
      <w:r w:rsidR="009A19F2">
        <w:rPr>
          <w:sz w:val="22"/>
          <w:szCs w:val="22"/>
          <w:lang w:val="nl-NL"/>
        </w:rPr>
        <w:tab/>
      </w:r>
      <w:r w:rsidR="003428AA">
        <w:rPr>
          <w:sz w:val="22"/>
          <w:szCs w:val="22"/>
          <w:lang w:val="nl-NL"/>
        </w:rPr>
        <w:t xml:space="preserve"> </w:t>
      </w:r>
    </w:p>
    <w:p w:rsidR="001D43C4" w:rsidRPr="000E6671" w:rsidRDefault="001D43C4" w:rsidP="00B555C9">
      <w:pPr>
        <w:numPr>
          <w:ilvl w:val="0"/>
          <w:numId w:val="17"/>
        </w:numPr>
        <w:tabs>
          <w:tab w:val="clear" w:pos="774"/>
        </w:tabs>
        <w:ind w:left="214" w:hanging="228"/>
        <w:jc w:val="both"/>
        <w:rPr>
          <w:sz w:val="22"/>
          <w:szCs w:val="22"/>
          <w:lang w:val="nl-NL"/>
        </w:rPr>
      </w:pPr>
      <w:r>
        <w:rPr>
          <w:sz w:val="22"/>
          <w:szCs w:val="22"/>
          <w:lang w:val="nl-NL"/>
        </w:rPr>
        <w:t>Văn phòng BCĐ phòng chống tham nhũng TW;</w:t>
      </w:r>
      <w:r w:rsidR="00FA632F" w:rsidRPr="00FA632F">
        <w:rPr>
          <w:b/>
          <w:bCs/>
          <w:lang w:val="nl-NL"/>
        </w:rPr>
        <w:t xml:space="preserve"> </w:t>
      </w:r>
      <w:r w:rsidR="00FA632F">
        <w:rPr>
          <w:b/>
          <w:bCs/>
          <w:lang w:val="nl-NL"/>
        </w:rPr>
        <w:t xml:space="preserve">                       </w:t>
      </w:r>
      <w:r w:rsidR="00AD68DE">
        <w:rPr>
          <w:b/>
          <w:bCs/>
          <w:lang w:val="nl-NL"/>
        </w:rPr>
        <w:t xml:space="preserve">    </w:t>
      </w:r>
      <w:r w:rsidR="00FA632F">
        <w:rPr>
          <w:b/>
          <w:bCs/>
          <w:lang w:val="nl-NL"/>
        </w:rPr>
        <w:t xml:space="preserve">   </w:t>
      </w:r>
      <w:r w:rsidR="00FA632F" w:rsidRPr="00C91175">
        <w:rPr>
          <w:b/>
          <w:bCs/>
          <w:lang w:val="nl-NL"/>
        </w:rPr>
        <w:t>Trần Xuân Hà</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Viện Kiểm sát NDTC, Toà án NDTC;</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Kiểm toán Nhà nước;</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Cơ quan Trung ương của các đoàn thể;</w:t>
      </w:r>
    </w:p>
    <w:p w:rsidR="002D45D9"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 xml:space="preserve">Công báo; </w:t>
      </w:r>
      <w:r w:rsidR="004F7AA7" w:rsidRPr="000E6671">
        <w:rPr>
          <w:sz w:val="22"/>
          <w:szCs w:val="22"/>
          <w:lang w:val="nl-NL"/>
        </w:rPr>
        <w:t>Website Chính phủ;</w:t>
      </w:r>
      <w:r w:rsidR="002D45D9">
        <w:rPr>
          <w:sz w:val="22"/>
          <w:szCs w:val="22"/>
          <w:lang w:val="nl-NL"/>
        </w:rPr>
        <w:t xml:space="preserve"> </w:t>
      </w:r>
      <w:r w:rsidR="002D45D9" w:rsidRPr="000E6671">
        <w:rPr>
          <w:sz w:val="22"/>
          <w:szCs w:val="22"/>
          <w:lang w:val="nl-NL"/>
        </w:rPr>
        <w:t>Website BTC;</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Cục kiểm tra văn bản - Bộ Tư pháp;</w:t>
      </w:r>
    </w:p>
    <w:p w:rsidR="000D245E" w:rsidRPr="000E6671" w:rsidRDefault="000D245E" w:rsidP="00B555C9">
      <w:pPr>
        <w:numPr>
          <w:ilvl w:val="0"/>
          <w:numId w:val="17"/>
        </w:numPr>
        <w:tabs>
          <w:tab w:val="clear" w:pos="774"/>
        </w:tabs>
        <w:ind w:left="214" w:hanging="228"/>
        <w:jc w:val="both"/>
        <w:rPr>
          <w:sz w:val="22"/>
          <w:szCs w:val="22"/>
          <w:lang w:val="nl-NL"/>
        </w:rPr>
      </w:pPr>
      <w:r w:rsidRPr="000E6671">
        <w:rPr>
          <w:sz w:val="22"/>
          <w:szCs w:val="22"/>
          <w:lang w:val="nl-NL"/>
        </w:rPr>
        <w:t>Các đơn vị thuộc Bộ Tài chính;</w:t>
      </w:r>
    </w:p>
    <w:p w:rsidR="000D245E" w:rsidRPr="000E6671" w:rsidRDefault="000D245E" w:rsidP="00B555C9">
      <w:pPr>
        <w:rPr>
          <w:lang w:val="nl-NL"/>
        </w:rPr>
      </w:pPr>
      <w:r w:rsidRPr="000E6671">
        <w:rPr>
          <w:sz w:val="22"/>
          <w:szCs w:val="22"/>
          <w:lang w:val="nl-NL"/>
        </w:rPr>
        <w:t xml:space="preserve">- </w:t>
      </w:r>
      <w:r w:rsidR="00BD0E65">
        <w:rPr>
          <w:sz w:val="22"/>
          <w:szCs w:val="22"/>
          <w:lang w:val="nl-NL"/>
        </w:rPr>
        <w:t xml:space="preserve">  </w:t>
      </w:r>
      <w:r w:rsidRPr="000E6671">
        <w:rPr>
          <w:sz w:val="22"/>
          <w:szCs w:val="22"/>
          <w:lang w:val="nl-NL"/>
        </w:rPr>
        <w:t xml:space="preserve">Lưu: VT, UBCK.        </w:t>
      </w:r>
    </w:p>
    <w:sectPr w:rsidR="000D245E" w:rsidRPr="000E6671" w:rsidSect="00F7749C">
      <w:footerReference w:type="default" r:id="rId8"/>
      <w:pgSz w:w="11907" w:h="16840" w:code="9"/>
      <w:pgMar w:top="1008" w:right="1296" w:bottom="1008" w:left="1728" w:header="576"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2A" w:rsidRDefault="00A27F2A" w:rsidP="001421D7">
      <w:r>
        <w:separator/>
      </w:r>
    </w:p>
  </w:endnote>
  <w:endnote w:type="continuationSeparator" w:id="0">
    <w:p w:rsidR="00A27F2A" w:rsidRDefault="00A27F2A" w:rsidP="00142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9B" w:rsidRPr="000E6671" w:rsidRDefault="00AF219B" w:rsidP="004E39DB">
    <w:pPr>
      <w:pStyle w:val="Footer"/>
      <w:framePr w:wrap="auto" w:vAnchor="text" w:hAnchor="margin" w:xAlign="center" w:y="1"/>
      <w:rPr>
        <w:rStyle w:val="PageNumber"/>
        <w:sz w:val="24"/>
        <w:szCs w:val="24"/>
        <w:lang w:val="nl-NL"/>
      </w:rPr>
    </w:pPr>
    <w:r w:rsidRPr="000E6671">
      <w:rPr>
        <w:rStyle w:val="PageNumber"/>
        <w:sz w:val="24"/>
        <w:szCs w:val="24"/>
        <w:lang w:val="nl-NL"/>
      </w:rPr>
      <w:fldChar w:fldCharType="begin"/>
    </w:r>
    <w:r w:rsidRPr="000E6671">
      <w:rPr>
        <w:rStyle w:val="PageNumber"/>
        <w:sz w:val="24"/>
        <w:szCs w:val="24"/>
        <w:lang w:val="nl-NL"/>
      </w:rPr>
      <w:instrText xml:space="preserve">PAGE  </w:instrText>
    </w:r>
    <w:r w:rsidRPr="000E6671">
      <w:rPr>
        <w:rStyle w:val="PageNumber"/>
        <w:sz w:val="24"/>
        <w:szCs w:val="24"/>
        <w:lang w:val="nl-NL"/>
      </w:rPr>
      <w:fldChar w:fldCharType="separate"/>
    </w:r>
    <w:r w:rsidR="006414D3">
      <w:rPr>
        <w:rStyle w:val="PageNumber"/>
        <w:noProof/>
        <w:sz w:val="24"/>
        <w:szCs w:val="24"/>
        <w:lang w:val="nl-NL"/>
      </w:rPr>
      <w:t>1</w:t>
    </w:r>
    <w:r w:rsidRPr="000E6671">
      <w:rPr>
        <w:rStyle w:val="PageNumber"/>
        <w:sz w:val="24"/>
        <w:szCs w:val="24"/>
        <w:lang w:val="nl-NL"/>
      </w:rPr>
      <w:fldChar w:fldCharType="end"/>
    </w:r>
  </w:p>
  <w:p w:rsidR="00AF219B" w:rsidRPr="000E6671" w:rsidRDefault="00AF219B" w:rsidP="009657A6">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2A" w:rsidRDefault="00A27F2A" w:rsidP="001421D7">
      <w:r>
        <w:separator/>
      </w:r>
    </w:p>
  </w:footnote>
  <w:footnote w:type="continuationSeparator" w:id="0">
    <w:p w:rsidR="00A27F2A" w:rsidRDefault="00A27F2A" w:rsidP="00142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0C5"/>
    <w:multiLevelType w:val="hybridMultilevel"/>
    <w:tmpl w:val="160AE144"/>
    <w:lvl w:ilvl="0" w:tplc="ABB24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E67BE4"/>
    <w:multiLevelType w:val="hybridMultilevel"/>
    <w:tmpl w:val="BD9800BE"/>
    <w:lvl w:ilvl="0" w:tplc="A8B6DBB8">
      <w:start w:val="1"/>
      <w:numFmt w:val="upperRoman"/>
      <w:lvlText w:val="%1."/>
      <w:lvlJc w:val="left"/>
      <w:pPr>
        <w:ind w:left="1077" w:hanging="720"/>
      </w:pPr>
      <w:rPr>
        <w:rFonts w:hint="default"/>
        <w:b/>
        <w:bCs/>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
    <w:nsid w:val="03D06D82"/>
    <w:multiLevelType w:val="multilevel"/>
    <w:tmpl w:val="C172ADCC"/>
    <w:lvl w:ilvl="0">
      <w:start w:val="2"/>
      <w:numFmt w:val="decimal"/>
      <w:lvlText w:val="%1"/>
      <w:lvlJc w:val="left"/>
      <w:pPr>
        <w:ind w:left="375" w:hanging="375"/>
      </w:pPr>
      <w:rPr>
        <w:rFonts w:hint="default"/>
        <w:b/>
        <w:bCs/>
      </w:rPr>
    </w:lvl>
    <w:lvl w:ilvl="1">
      <w:start w:val="4"/>
      <w:numFmt w:val="decimal"/>
      <w:lvlText w:val="%1.%2"/>
      <w:lvlJc w:val="left"/>
      <w:pPr>
        <w:ind w:left="795" w:hanging="375"/>
      </w:pPr>
      <w:rPr>
        <w:rFonts w:hint="default"/>
        <w:b/>
        <w:bCs/>
      </w:rPr>
    </w:lvl>
    <w:lvl w:ilvl="2">
      <w:start w:val="1"/>
      <w:numFmt w:val="decimal"/>
      <w:lvlText w:val="%1.%2.%3"/>
      <w:lvlJc w:val="left"/>
      <w:pPr>
        <w:ind w:left="1560" w:hanging="720"/>
      </w:pPr>
      <w:rPr>
        <w:rFonts w:hint="default"/>
        <w:b/>
        <w:bCs/>
      </w:rPr>
    </w:lvl>
    <w:lvl w:ilvl="3">
      <w:start w:val="1"/>
      <w:numFmt w:val="decimal"/>
      <w:lvlText w:val="%1.%2.%3.%4"/>
      <w:lvlJc w:val="left"/>
      <w:pPr>
        <w:ind w:left="2340" w:hanging="1080"/>
      </w:pPr>
      <w:rPr>
        <w:rFonts w:hint="default"/>
        <w:b/>
        <w:bCs/>
      </w:rPr>
    </w:lvl>
    <w:lvl w:ilvl="4">
      <w:start w:val="1"/>
      <w:numFmt w:val="decimal"/>
      <w:lvlText w:val="%1.%2.%3.%4.%5"/>
      <w:lvlJc w:val="left"/>
      <w:pPr>
        <w:ind w:left="2760" w:hanging="1080"/>
      </w:pPr>
      <w:rPr>
        <w:rFonts w:hint="default"/>
        <w:b/>
        <w:bCs/>
      </w:rPr>
    </w:lvl>
    <w:lvl w:ilvl="5">
      <w:start w:val="1"/>
      <w:numFmt w:val="decimal"/>
      <w:lvlText w:val="%1.%2.%3.%4.%5.%6"/>
      <w:lvlJc w:val="left"/>
      <w:pPr>
        <w:ind w:left="3540" w:hanging="1440"/>
      </w:pPr>
      <w:rPr>
        <w:rFonts w:hint="default"/>
        <w:b/>
        <w:bCs/>
      </w:rPr>
    </w:lvl>
    <w:lvl w:ilvl="6">
      <w:start w:val="1"/>
      <w:numFmt w:val="decimal"/>
      <w:lvlText w:val="%1.%2.%3.%4.%5.%6.%7"/>
      <w:lvlJc w:val="left"/>
      <w:pPr>
        <w:ind w:left="3960" w:hanging="1440"/>
      </w:pPr>
      <w:rPr>
        <w:rFonts w:hint="default"/>
        <w:b/>
        <w:bCs/>
      </w:rPr>
    </w:lvl>
    <w:lvl w:ilvl="7">
      <w:start w:val="1"/>
      <w:numFmt w:val="decimal"/>
      <w:lvlText w:val="%1.%2.%3.%4.%5.%6.%7.%8"/>
      <w:lvlJc w:val="left"/>
      <w:pPr>
        <w:ind w:left="4740" w:hanging="1800"/>
      </w:pPr>
      <w:rPr>
        <w:rFonts w:hint="default"/>
        <w:b/>
        <w:bCs/>
      </w:rPr>
    </w:lvl>
    <w:lvl w:ilvl="8">
      <w:start w:val="1"/>
      <w:numFmt w:val="decimal"/>
      <w:lvlText w:val="%1.%2.%3.%4.%5.%6.%7.%8.%9"/>
      <w:lvlJc w:val="left"/>
      <w:pPr>
        <w:ind w:left="5520" w:hanging="2160"/>
      </w:pPr>
      <w:rPr>
        <w:rFonts w:hint="default"/>
        <w:b/>
        <w:bCs/>
      </w:rPr>
    </w:lvl>
  </w:abstractNum>
  <w:abstractNum w:abstractNumId="3">
    <w:nsid w:val="07F32BAA"/>
    <w:multiLevelType w:val="hybridMultilevel"/>
    <w:tmpl w:val="C936B580"/>
    <w:lvl w:ilvl="0" w:tplc="F926D242">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4">
    <w:nsid w:val="0AA762E8"/>
    <w:multiLevelType w:val="hybridMultilevel"/>
    <w:tmpl w:val="764486CA"/>
    <w:lvl w:ilvl="0">
      <w:numFmt w:val="bullet"/>
      <w:lvlText w:val="-"/>
      <w:lvlJc w:val="left"/>
      <w:pPr>
        <w:tabs>
          <w:tab w:val="num" w:pos="774"/>
        </w:tabs>
        <w:ind w:left="774" w:hanging="360"/>
      </w:pPr>
      <w:rPr>
        <w:rFonts w:ascii=".VnTime" w:eastAsia="Times New Roman" w:hAnsi=".VnTime" w:hint="default"/>
      </w:rPr>
    </w:lvl>
    <w:lvl w:ilvl="1">
      <w:start w:val="1"/>
      <w:numFmt w:val="bullet"/>
      <w:lvlText w:val="o"/>
      <w:lvlJc w:val="left"/>
      <w:pPr>
        <w:tabs>
          <w:tab w:val="num" w:pos="1494"/>
        </w:tabs>
        <w:ind w:left="1494" w:hanging="360"/>
      </w:pPr>
      <w:rPr>
        <w:rFonts w:ascii="Courier New" w:hAnsi="Courier New" w:cs="Courier New" w:hint="default"/>
      </w:rPr>
    </w:lvl>
    <w:lvl w:ilvl="2">
      <w:start w:val="1"/>
      <w:numFmt w:val="bullet"/>
      <w:lvlText w:val=""/>
      <w:lvlJc w:val="left"/>
      <w:pPr>
        <w:tabs>
          <w:tab w:val="num" w:pos="2214"/>
        </w:tabs>
        <w:ind w:left="2214" w:hanging="360"/>
      </w:pPr>
      <w:rPr>
        <w:rFonts w:ascii="Wingdings" w:hAnsi="Wingdings" w:cs="Wingdings" w:hint="default"/>
      </w:rPr>
    </w:lvl>
    <w:lvl w:ilvl="3">
      <w:start w:val="1"/>
      <w:numFmt w:val="bullet"/>
      <w:lvlText w:val=""/>
      <w:lvlJc w:val="left"/>
      <w:pPr>
        <w:tabs>
          <w:tab w:val="num" w:pos="2934"/>
        </w:tabs>
        <w:ind w:left="2934" w:hanging="360"/>
      </w:pPr>
      <w:rPr>
        <w:rFonts w:ascii="Symbol" w:hAnsi="Symbol" w:cs="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cs="Wingdings" w:hint="default"/>
      </w:rPr>
    </w:lvl>
    <w:lvl w:ilvl="6">
      <w:start w:val="1"/>
      <w:numFmt w:val="bullet"/>
      <w:lvlText w:val=""/>
      <w:lvlJc w:val="left"/>
      <w:pPr>
        <w:tabs>
          <w:tab w:val="num" w:pos="5094"/>
        </w:tabs>
        <w:ind w:left="5094" w:hanging="360"/>
      </w:pPr>
      <w:rPr>
        <w:rFonts w:ascii="Symbol" w:hAnsi="Symbol" w:cs="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cs="Wingdings" w:hint="default"/>
      </w:rPr>
    </w:lvl>
  </w:abstractNum>
  <w:abstractNum w:abstractNumId="5">
    <w:nsid w:val="0E20229D"/>
    <w:multiLevelType w:val="hybridMultilevel"/>
    <w:tmpl w:val="A70E5D56"/>
    <w:lvl w:ilvl="0" w:tplc="FFFFFFFF">
      <w:start w:val="1"/>
      <w:numFmt w:val="decimal"/>
      <w:lvlText w:val="%1."/>
      <w:lvlJc w:val="left"/>
      <w:pPr>
        <w:ind w:left="920" w:hanging="360"/>
      </w:pPr>
      <w:rPr>
        <w:rFonts w:hint="default"/>
      </w:rPr>
    </w:lvl>
    <w:lvl w:ilvl="1" w:tplc="FFFFFFFF">
      <w:start w:val="1"/>
      <w:numFmt w:val="lowerLetter"/>
      <w:lvlText w:val="%2."/>
      <w:lvlJc w:val="left"/>
      <w:pPr>
        <w:ind w:left="1640" w:hanging="360"/>
      </w:pPr>
    </w:lvl>
    <w:lvl w:ilvl="2" w:tplc="FFFFFFFF">
      <w:start w:val="1"/>
      <w:numFmt w:val="lowerRoman"/>
      <w:lvlText w:val="%3."/>
      <w:lvlJc w:val="right"/>
      <w:pPr>
        <w:ind w:left="2360" w:hanging="180"/>
      </w:pPr>
    </w:lvl>
    <w:lvl w:ilvl="3" w:tplc="FFFFFFFF">
      <w:start w:val="1"/>
      <w:numFmt w:val="decimal"/>
      <w:lvlText w:val="%4."/>
      <w:lvlJc w:val="left"/>
      <w:pPr>
        <w:ind w:left="3080" w:hanging="360"/>
      </w:pPr>
    </w:lvl>
    <w:lvl w:ilvl="4" w:tplc="FFFFFFFF">
      <w:start w:val="1"/>
      <w:numFmt w:val="lowerLetter"/>
      <w:lvlText w:val="%5."/>
      <w:lvlJc w:val="left"/>
      <w:pPr>
        <w:ind w:left="3800" w:hanging="360"/>
      </w:pPr>
    </w:lvl>
    <w:lvl w:ilvl="5" w:tplc="FFFFFFFF">
      <w:start w:val="1"/>
      <w:numFmt w:val="lowerRoman"/>
      <w:lvlText w:val="%6."/>
      <w:lvlJc w:val="right"/>
      <w:pPr>
        <w:ind w:left="4520" w:hanging="180"/>
      </w:pPr>
    </w:lvl>
    <w:lvl w:ilvl="6" w:tplc="FFFFFFFF">
      <w:start w:val="1"/>
      <w:numFmt w:val="decimal"/>
      <w:lvlText w:val="%7."/>
      <w:lvlJc w:val="left"/>
      <w:pPr>
        <w:ind w:left="5240" w:hanging="360"/>
      </w:pPr>
    </w:lvl>
    <w:lvl w:ilvl="7" w:tplc="FFFFFFFF">
      <w:start w:val="1"/>
      <w:numFmt w:val="lowerLetter"/>
      <w:lvlText w:val="%8."/>
      <w:lvlJc w:val="left"/>
      <w:pPr>
        <w:ind w:left="5960" w:hanging="360"/>
      </w:pPr>
    </w:lvl>
    <w:lvl w:ilvl="8" w:tplc="FFFFFFFF">
      <w:start w:val="1"/>
      <w:numFmt w:val="lowerRoman"/>
      <w:lvlText w:val="%9."/>
      <w:lvlJc w:val="right"/>
      <w:pPr>
        <w:ind w:left="6680" w:hanging="180"/>
      </w:pPr>
    </w:lvl>
  </w:abstractNum>
  <w:abstractNum w:abstractNumId="6">
    <w:nsid w:val="13F13581"/>
    <w:multiLevelType w:val="multilevel"/>
    <w:tmpl w:val="5B7E822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2A1841"/>
    <w:multiLevelType w:val="hybridMultilevel"/>
    <w:tmpl w:val="5C1AB196"/>
    <w:lvl w:ilvl="0">
      <w:start w:val="1"/>
      <w:numFmt w:val="bullet"/>
      <w:lvlText w:val="-"/>
      <w:lvlJc w:val="left"/>
      <w:pPr>
        <w:tabs>
          <w:tab w:val="num" w:pos="170"/>
        </w:tabs>
      </w:pPr>
      <w:rPr>
        <w:rFonts w:ascii=".VnTime" w:hAnsi=".VnTime" w:cs=".VnTim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BBA548C"/>
    <w:multiLevelType w:val="multilevel"/>
    <w:tmpl w:val="968604E4"/>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9">
    <w:nsid w:val="1F09487C"/>
    <w:multiLevelType w:val="hybridMultilevel"/>
    <w:tmpl w:val="EAC064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04A5F3C"/>
    <w:multiLevelType w:val="hybridMultilevel"/>
    <w:tmpl w:val="16283A36"/>
    <w:lvl w:ilvl="0" w:tplc="323A287E">
      <w:start w:val="1"/>
      <w:numFmt w:val="decimal"/>
      <w:lvlText w:val="%1."/>
      <w:lvlJc w:val="left"/>
      <w:pPr>
        <w:ind w:left="1109"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21FA3489"/>
    <w:multiLevelType w:val="hybridMultilevel"/>
    <w:tmpl w:val="5B7E8224"/>
    <w:lvl w:ilvl="0" w:tplc="9E88388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56287A"/>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7F92DF8"/>
    <w:multiLevelType w:val="hybrid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95D1004"/>
    <w:multiLevelType w:val="hybridMultilevel"/>
    <w:tmpl w:val="573CFE24"/>
    <w:lvl w:ilvl="0" w:tplc="79F06CDA">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B2321EE"/>
    <w:multiLevelType w:val="hybridMultilevel"/>
    <w:tmpl w:val="98C2D7DE"/>
    <w:lvl w:ilvl="0" w:tplc="F710C74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1780D07"/>
    <w:multiLevelType w:val="hybridMultilevel"/>
    <w:tmpl w:val="1F50B5CE"/>
    <w:lvl w:ilvl="0" w:tplc="814A623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5D7F3E"/>
    <w:multiLevelType w:val="hybridMultilevel"/>
    <w:tmpl w:val="BB0E8E0C"/>
    <w:lvl w:ilvl="0">
      <w:start w:val="1"/>
      <w:numFmt w:val="decimal"/>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9">
    <w:nsid w:val="4261503A"/>
    <w:multiLevelType w:val="multilevel"/>
    <w:tmpl w:val="21DAF08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6965EB"/>
    <w:multiLevelType w:val="hybridMultilevel"/>
    <w:tmpl w:val="7A5E01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16306A4"/>
    <w:multiLevelType w:val="hybridMultilevel"/>
    <w:tmpl w:val="BFACBEE0"/>
    <w:lvl w:ilvl="0" w:tplc="CC08F07C">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522520AD"/>
    <w:multiLevelType w:val="hybridMultilevel"/>
    <w:tmpl w:val="6CAC7F06"/>
    <w:lvl w:ilvl="0" w:tplc="0409000F">
      <w:start w:val="1"/>
      <w:numFmt w:val="decimal"/>
      <w:lvlText w:val="%1."/>
      <w:lvlJc w:val="left"/>
      <w:pPr>
        <w:ind w:left="720" w:hanging="360"/>
      </w:pPr>
      <w:rPr>
        <w:rFonts w:ascii="Times New Roman" w:eastAsia="Times New Roman" w:hAnsi="Times New Roman"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AC62275"/>
    <w:multiLevelType w:val="multilevel"/>
    <w:tmpl w:val="2F52C834"/>
    <w:lvl w:ilvl="0">
      <w:start w:val="9"/>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24">
    <w:nsid w:val="606004F5"/>
    <w:multiLevelType w:val="hybridMultilevel"/>
    <w:tmpl w:val="BAE47216"/>
    <w:lvl w:ilvl="0">
      <w:start w:val="1"/>
      <w:numFmt w:val="upperRoman"/>
      <w:suff w:val="space"/>
      <w:lvlText w:val="%1."/>
      <w:lvlJc w:val="right"/>
      <w:pPr>
        <w:ind w:firstLine="567"/>
      </w:pPr>
      <w:rPr>
        <w:rFonts w:hint="default"/>
      </w:rPr>
    </w:lvl>
    <w:lvl w:ilvl="1">
      <w:start w:val="1"/>
      <w:numFmt w:val="lowerLetter"/>
      <w:lvlText w:val="%2."/>
      <w:lvlJc w:val="left"/>
      <w:pPr>
        <w:ind w:left="2097" w:hanging="360"/>
      </w:pPr>
    </w:lvl>
    <w:lvl w:ilvl="2">
      <w:start w:val="1"/>
      <w:numFmt w:val="lowerRoman"/>
      <w:lvlText w:val="%3."/>
      <w:lvlJc w:val="right"/>
      <w:pPr>
        <w:ind w:left="2817" w:hanging="180"/>
      </w:pPr>
    </w:lvl>
    <w:lvl w:ilvl="3">
      <w:start w:val="1"/>
      <w:numFmt w:val="decimal"/>
      <w:lvlText w:val="%4."/>
      <w:lvlJc w:val="left"/>
      <w:pPr>
        <w:ind w:left="3537" w:hanging="360"/>
      </w:pPr>
    </w:lvl>
    <w:lvl w:ilvl="4">
      <w:start w:val="1"/>
      <w:numFmt w:val="lowerLetter"/>
      <w:lvlText w:val="%5."/>
      <w:lvlJc w:val="left"/>
      <w:pPr>
        <w:ind w:left="4257" w:hanging="360"/>
      </w:pPr>
    </w:lvl>
    <w:lvl w:ilvl="5">
      <w:start w:val="1"/>
      <w:numFmt w:val="lowerRoman"/>
      <w:lvlText w:val="%6."/>
      <w:lvlJc w:val="right"/>
      <w:pPr>
        <w:ind w:left="4977" w:hanging="180"/>
      </w:pPr>
    </w:lvl>
    <w:lvl w:ilvl="6">
      <w:start w:val="1"/>
      <w:numFmt w:val="decimal"/>
      <w:lvlText w:val="%7."/>
      <w:lvlJc w:val="left"/>
      <w:pPr>
        <w:ind w:left="5697" w:hanging="360"/>
      </w:pPr>
    </w:lvl>
    <w:lvl w:ilvl="7">
      <w:start w:val="1"/>
      <w:numFmt w:val="lowerLetter"/>
      <w:lvlText w:val="%8."/>
      <w:lvlJc w:val="left"/>
      <w:pPr>
        <w:ind w:left="6417" w:hanging="360"/>
      </w:pPr>
    </w:lvl>
    <w:lvl w:ilvl="8">
      <w:start w:val="1"/>
      <w:numFmt w:val="lowerRoman"/>
      <w:lvlText w:val="%9."/>
      <w:lvlJc w:val="right"/>
      <w:pPr>
        <w:ind w:left="7137" w:hanging="180"/>
      </w:pPr>
    </w:lvl>
  </w:abstractNum>
  <w:abstractNum w:abstractNumId="25">
    <w:nsid w:val="618A34BF"/>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6FE56667"/>
    <w:multiLevelType w:val="hybridMultilevel"/>
    <w:tmpl w:val="F1E0CE48"/>
    <w:lvl w:ilvl="0" w:tplc="64FEF0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B890DE1"/>
    <w:multiLevelType w:val="multilevel"/>
    <w:tmpl w:val="7A5E01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1A37DE"/>
    <w:multiLevelType w:val="hybridMultilevel"/>
    <w:tmpl w:val="6CA69A70"/>
    <w:lvl w:ilvl="0">
      <w:start w:val="1"/>
      <w:numFmt w:val="decimal"/>
      <w:lvlText w:val="%1."/>
      <w:lvlJc w:val="left"/>
      <w:pPr>
        <w:ind w:left="1297" w:hanging="360"/>
      </w:pPr>
      <w:rPr>
        <w:rFonts w:hint="default"/>
      </w:rPr>
    </w:lvl>
    <w:lvl w:ilvl="1" w:tentative="1">
      <w:start w:val="1"/>
      <w:numFmt w:val="lowerLetter"/>
      <w:lvlText w:val="%2."/>
      <w:lvlJc w:val="left"/>
      <w:pPr>
        <w:ind w:left="2017" w:hanging="360"/>
      </w:pPr>
    </w:lvl>
    <w:lvl w:ilvl="2" w:tentative="1">
      <w:start w:val="1"/>
      <w:numFmt w:val="lowerRoman"/>
      <w:lvlText w:val="%3."/>
      <w:lvlJc w:val="right"/>
      <w:pPr>
        <w:ind w:left="2737" w:hanging="180"/>
      </w:pPr>
    </w:lvl>
    <w:lvl w:ilvl="3" w:tentative="1">
      <w:start w:val="1"/>
      <w:numFmt w:val="decimal"/>
      <w:lvlText w:val="%4."/>
      <w:lvlJc w:val="left"/>
      <w:pPr>
        <w:ind w:left="3457" w:hanging="360"/>
      </w:pPr>
    </w:lvl>
    <w:lvl w:ilvl="4" w:tentative="1">
      <w:start w:val="1"/>
      <w:numFmt w:val="lowerLetter"/>
      <w:lvlText w:val="%5."/>
      <w:lvlJc w:val="left"/>
      <w:pPr>
        <w:ind w:left="4177" w:hanging="360"/>
      </w:pPr>
    </w:lvl>
    <w:lvl w:ilvl="5" w:tentative="1">
      <w:start w:val="1"/>
      <w:numFmt w:val="lowerRoman"/>
      <w:lvlText w:val="%6."/>
      <w:lvlJc w:val="right"/>
      <w:pPr>
        <w:ind w:left="4897" w:hanging="180"/>
      </w:pPr>
    </w:lvl>
    <w:lvl w:ilvl="6" w:tentative="1">
      <w:start w:val="1"/>
      <w:numFmt w:val="decimal"/>
      <w:lvlText w:val="%7."/>
      <w:lvlJc w:val="left"/>
      <w:pPr>
        <w:ind w:left="5617" w:hanging="360"/>
      </w:pPr>
    </w:lvl>
    <w:lvl w:ilvl="7" w:tentative="1">
      <w:start w:val="1"/>
      <w:numFmt w:val="lowerLetter"/>
      <w:lvlText w:val="%8."/>
      <w:lvlJc w:val="left"/>
      <w:pPr>
        <w:ind w:left="6337" w:hanging="360"/>
      </w:pPr>
    </w:lvl>
    <w:lvl w:ilvl="8" w:tentative="1">
      <w:start w:val="1"/>
      <w:numFmt w:val="lowerRoman"/>
      <w:lvlText w:val="%9."/>
      <w:lvlJc w:val="right"/>
      <w:pPr>
        <w:ind w:left="7057" w:hanging="180"/>
      </w:pPr>
    </w:lvl>
  </w:abstractNum>
  <w:abstractNum w:abstractNumId="29">
    <w:nsid w:val="7EE26CBF"/>
    <w:multiLevelType w:val="multilevel"/>
    <w:tmpl w:val="6AF4759C"/>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7"/>
  </w:num>
  <w:num w:numId="2">
    <w:abstractNumId w:val="19"/>
  </w:num>
  <w:num w:numId="3">
    <w:abstractNumId w:val="20"/>
  </w:num>
  <w:num w:numId="4">
    <w:abstractNumId w:val="13"/>
  </w:num>
  <w:num w:numId="5">
    <w:abstractNumId w:val="24"/>
  </w:num>
  <w:num w:numId="6">
    <w:abstractNumId w:val="17"/>
  </w:num>
  <w:num w:numId="7">
    <w:abstractNumId w:val="27"/>
  </w:num>
  <w:num w:numId="8">
    <w:abstractNumId w:val="11"/>
  </w:num>
  <w:num w:numId="9">
    <w:abstractNumId w:val="6"/>
  </w:num>
  <w:num w:numId="10">
    <w:abstractNumId w:val="25"/>
  </w:num>
  <w:num w:numId="11">
    <w:abstractNumId w:val="12"/>
  </w:num>
  <w:num w:numId="12">
    <w:abstractNumId w:val="14"/>
  </w:num>
  <w:num w:numId="13">
    <w:abstractNumId w:val="1"/>
  </w:num>
  <w:num w:numId="14">
    <w:abstractNumId w:val="8"/>
  </w:num>
  <w:num w:numId="15">
    <w:abstractNumId w:val="2"/>
  </w:num>
  <w:num w:numId="16">
    <w:abstractNumId w:val="29"/>
  </w:num>
  <w:num w:numId="17">
    <w:abstractNumId w:val="4"/>
  </w:num>
  <w:num w:numId="18">
    <w:abstractNumId w:val="0"/>
  </w:num>
  <w:num w:numId="19">
    <w:abstractNumId w:val="18"/>
  </w:num>
  <w:num w:numId="20">
    <w:abstractNumId w:val="3"/>
  </w:num>
  <w:num w:numId="21">
    <w:abstractNumId w:val="5"/>
  </w:num>
  <w:num w:numId="22">
    <w:abstractNumId w:val="21"/>
  </w:num>
  <w:num w:numId="23">
    <w:abstractNumId w:val="23"/>
  </w:num>
  <w:num w:numId="24">
    <w:abstractNumId w:val="10"/>
  </w:num>
  <w:num w:numId="25">
    <w:abstractNumId w:val="28"/>
  </w:num>
  <w:num w:numId="26">
    <w:abstractNumId w:val="9"/>
  </w:num>
  <w:num w:numId="27">
    <w:abstractNumId w:val="16"/>
  </w:num>
  <w:num w:numId="28">
    <w:abstractNumId w:val="22"/>
  </w:num>
  <w:num w:numId="29">
    <w:abstractNumId w:val="26"/>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rsids>
    <w:rsidRoot w:val="004121CE"/>
    <w:rsid w:val="000023C2"/>
    <w:rsid w:val="00002899"/>
    <w:rsid w:val="00003948"/>
    <w:rsid w:val="0000649C"/>
    <w:rsid w:val="00007364"/>
    <w:rsid w:val="00007711"/>
    <w:rsid w:val="00007AB5"/>
    <w:rsid w:val="00007D25"/>
    <w:rsid w:val="00011856"/>
    <w:rsid w:val="00016728"/>
    <w:rsid w:val="00016ED6"/>
    <w:rsid w:val="0001758B"/>
    <w:rsid w:val="000217B3"/>
    <w:rsid w:val="000221C8"/>
    <w:rsid w:val="00024371"/>
    <w:rsid w:val="00024DF3"/>
    <w:rsid w:val="000253F9"/>
    <w:rsid w:val="00025E4E"/>
    <w:rsid w:val="00026199"/>
    <w:rsid w:val="00027248"/>
    <w:rsid w:val="00027805"/>
    <w:rsid w:val="000302A5"/>
    <w:rsid w:val="000315AC"/>
    <w:rsid w:val="00031E52"/>
    <w:rsid w:val="00032381"/>
    <w:rsid w:val="00032544"/>
    <w:rsid w:val="000345AA"/>
    <w:rsid w:val="00037232"/>
    <w:rsid w:val="000376D9"/>
    <w:rsid w:val="00040401"/>
    <w:rsid w:val="00040622"/>
    <w:rsid w:val="00040A12"/>
    <w:rsid w:val="00041699"/>
    <w:rsid w:val="00041757"/>
    <w:rsid w:val="000418C3"/>
    <w:rsid w:val="00041F90"/>
    <w:rsid w:val="000422AA"/>
    <w:rsid w:val="0004233F"/>
    <w:rsid w:val="00043BDB"/>
    <w:rsid w:val="00044253"/>
    <w:rsid w:val="000443CB"/>
    <w:rsid w:val="00045157"/>
    <w:rsid w:val="000465BD"/>
    <w:rsid w:val="0004769C"/>
    <w:rsid w:val="00047C12"/>
    <w:rsid w:val="0005146A"/>
    <w:rsid w:val="000515F0"/>
    <w:rsid w:val="0005255E"/>
    <w:rsid w:val="00053F7A"/>
    <w:rsid w:val="000546CA"/>
    <w:rsid w:val="000553D0"/>
    <w:rsid w:val="0005706B"/>
    <w:rsid w:val="00057115"/>
    <w:rsid w:val="0006270C"/>
    <w:rsid w:val="00063782"/>
    <w:rsid w:val="00066182"/>
    <w:rsid w:val="000672A9"/>
    <w:rsid w:val="000677C2"/>
    <w:rsid w:val="0007010A"/>
    <w:rsid w:val="0007079A"/>
    <w:rsid w:val="00070BBC"/>
    <w:rsid w:val="00071AF6"/>
    <w:rsid w:val="00071BF2"/>
    <w:rsid w:val="00071DBD"/>
    <w:rsid w:val="0007288D"/>
    <w:rsid w:val="00074C83"/>
    <w:rsid w:val="000750C7"/>
    <w:rsid w:val="00075594"/>
    <w:rsid w:val="0007696E"/>
    <w:rsid w:val="00077BD3"/>
    <w:rsid w:val="00080B31"/>
    <w:rsid w:val="00081A46"/>
    <w:rsid w:val="00081D7F"/>
    <w:rsid w:val="000823B1"/>
    <w:rsid w:val="00083784"/>
    <w:rsid w:val="00084112"/>
    <w:rsid w:val="00086555"/>
    <w:rsid w:val="0009123E"/>
    <w:rsid w:val="000919B4"/>
    <w:rsid w:val="0009312B"/>
    <w:rsid w:val="0009320E"/>
    <w:rsid w:val="0009477D"/>
    <w:rsid w:val="00094863"/>
    <w:rsid w:val="0009604C"/>
    <w:rsid w:val="0009642F"/>
    <w:rsid w:val="0009651C"/>
    <w:rsid w:val="000A08EF"/>
    <w:rsid w:val="000A1CA2"/>
    <w:rsid w:val="000A22FE"/>
    <w:rsid w:val="000A3500"/>
    <w:rsid w:val="000A5B8D"/>
    <w:rsid w:val="000A771A"/>
    <w:rsid w:val="000B06AA"/>
    <w:rsid w:val="000B0B43"/>
    <w:rsid w:val="000B0C82"/>
    <w:rsid w:val="000B0DDA"/>
    <w:rsid w:val="000B1A56"/>
    <w:rsid w:val="000B23B1"/>
    <w:rsid w:val="000B2560"/>
    <w:rsid w:val="000B44FA"/>
    <w:rsid w:val="000B4710"/>
    <w:rsid w:val="000B6715"/>
    <w:rsid w:val="000B68B8"/>
    <w:rsid w:val="000B6910"/>
    <w:rsid w:val="000C0A76"/>
    <w:rsid w:val="000C0C63"/>
    <w:rsid w:val="000C0EE2"/>
    <w:rsid w:val="000C161C"/>
    <w:rsid w:val="000C30DA"/>
    <w:rsid w:val="000C42F5"/>
    <w:rsid w:val="000C5942"/>
    <w:rsid w:val="000C5BE2"/>
    <w:rsid w:val="000C5E10"/>
    <w:rsid w:val="000C6069"/>
    <w:rsid w:val="000D04AB"/>
    <w:rsid w:val="000D245E"/>
    <w:rsid w:val="000D4539"/>
    <w:rsid w:val="000D5572"/>
    <w:rsid w:val="000D66BB"/>
    <w:rsid w:val="000D6941"/>
    <w:rsid w:val="000D6D63"/>
    <w:rsid w:val="000D79C3"/>
    <w:rsid w:val="000E05DB"/>
    <w:rsid w:val="000E0A44"/>
    <w:rsid w:val="000E1B3D"/>
    <w:rsid w:val="000E2015"/>
    <w:rsid w:val="000E22B6"/>
    <w:rsid w:val="000E381C"/>
    <w:rsid w:val="000E5797"/>
    <w:rsid w:val="000E6671"/>
    <w:rsid w:val="000E6B75"/>
    <w:rsid w:val="000F0843"/>
    <w:rsid w:val="000F108C"/>
    <w:rsid w:val="000F2E51"/>
    <w:rsid w:val="000F3B1D"/>
    <w:rsid w:val="000F3B83"/>
    <w:rsid w:val="000F4491"/>
    <w:rsid w:val="000F4B09"/>
    <w:rsid w:val="000F6188"/>
    <w:rsid w:val="000F705D"/>
    <w:rsid w:val="0010045F"/>
    <w:rsid w:val="00101441"/>
    <w:rsid w:val="001032DF"/>
    <w:rsid w:val="001038E9"/>
    <w:rsid w:val="00104405"/>
    <w:rsid w:val="001054B7"/>
    <w:rsid w:val="0010648E"/>
    <w:rsid w:val="00106DDF"/>
    <w:rsid w:val="00107829"/>
    <w:rsid w:val="00107A3F"/>
    <w:rsid w:val="001106DF"/>
    <w:rsid w:val="00110CB4"/>
    <w:rsid w:val="00111C06"/>
    <w:rsid w:val="001120C9"/>
    <w:rsid w:val="00112A92"/>
    <w:rsid w:val="00112D03"/>
    <w:rsid w:val="001144CE"/>
    <w:rsid w:val="00114AF8"/>
    <w:rsid w:val="0011584A"/>
    <w:rsid w:val="00115A31"/>
    <w:rsid w:val="001160EF"/>
    <w:rsid w:val="0012081B"/>
    <w:rsid w:val="00120B09"/>
    <w:rsid w:val="00120EF8"/>
    <w:rsid w:val="001217E0"/>
    <w:rsid w:val="00121C47"/>
    <w:rsid w:val="001236EE"/>
    <w:rsid w:val="00123BB2"/>
    <w:rsid w:val="00124721"/>
    <w:rsid w:val="0012505D"/>
    <w:rsid w:val="00126407"/>
    <w:rsid w:val="001267CA"/>
    <w:rsid w:val="00126815"/>
    <w:rsid w:val="0012717A"/>
    <w:rsid w:val="001274D6"/>
    <w:rsid w:val="001277BD"/>
    <w:rsid w:val="00127D4B"/>
    <w:rsid w:val="001305B4"/>
    <w:rsid w:val="00130615"/>
    <w:rsid w:val="00130B19"/>
    <w:rsid w:val="00134F92"/>
    <w:rsid w:val="00141847"/>
    <w:rsid w:val="001421D7"/>
    <w:rsid w:val="00144E2B"/>
    <w:rsid w:val="00145416"/>
    <w:rsid w:val="00145E51"/>
    <w:rsid w:val="001475E8"/>
    <w:rsid w:val="001502FC"/>
    <w:rsid w:val="00151003"/>
    <w:rsid w:val="001515E0"/>
    <w:rsid w:val="001517B3"/>
    <w:rsid w:val="00152846"/>
    <w:rsid w:val="00152954"/>
    <w:rsid w:val="00152BFB"/>
    <w:rsid w:val="001532C9"/>
    <w:rsid w:val="0015482A"/>
    <w:rsid w:val="00154B3E"/>
    <w:rsid w:val="00154D29"/>
    <w:rsid w:val="00155744"/>
    <w:rsid w:val="00156370"/>
    <w:rsid w:val="001606CF"/>
    <w:rsid w:val="00162512"/>
    <w:rsid w:val="00162C1F"/>
    <w:rsid w:val="00162E48"/>
    <w:rsid w:val="0016586E"/>
    <w:rsid w:val="001700EF"/>
    <w:rsid w:val="001712AC"/>
    <w:rsid w:val="001714DB"/>
    <w:rsid w:val="00171AA1"/>
    <w:rsid w:val="001727E2"/>
    <w:rsid w:val="00173A68"/>
    <w:rsid w:val="00174EB7"/>
    <w:rsid w:val="00174EDF"/>
    <w:rsid w:val="00175EEC"/>
    <w:rsid w:val="00175F58"/>
    <w:rsid w:val="00177D13"/>
    <w:rsid w:val="00180570"/>
    <w:rsid w:val="00180C0B"/>
    <w:rsid w:val="00181503"/>
    <w:rsid w:val="001820EC"/>
    <w:rsid w:val="00182475"/>
    <w:rsid w:val="00182A30"/>
    <w:rsid w:val="00183107"/>
    <w:rsid w:val="001836BD"/>
    <w:rsid w:val="001840AD"/>
    <w:rsid w:val="00185D9E"/>
    <w:rsid w:val="00186097"/>
    <w:rsid w:val="001861C0"/>
    <w:rsid w:val="00186947"/>
    <w:rsid w:val="00187760"/>
    <w:rsid w:val="0019279B"/>
    <w:rsid w:val="00192996"/>
    <w:rsid w:val="001933FB"/>
    <w:rsid w:val="0019487D"/>
    <w:rsid w:val="00194BC1"/>
    <w:rsid w:val="001955DC"/>
    <w:rsid w:val="001959F1"/>
    <w:rsid w:val="00195E81"/>
    <w:rsid w:val="0019762D"/>
    <w:rsid w:val="00197FFC"/>
    <w:rsid w:val="001A22AF"/>
    <w:rsid w:val="001A251D"/>
    <w:rsid w:val="001A3010"/>
    <w:rsid w:val="001A319F"/>
    <w:rsid w:val="001A346F"/>
    <w:rsid w:val="001A4079"/>
    <w:rsid w:val="001A4116"/>
    <w:rsid w:val="001A4AFA"/>
    <w:rsid w:val="001A4CC4"/>
    <w:rsid w:val="001A5220"/>
    <w:rsid w:val="001A55E9"/>
    <w:rsid w:val="001A5DCB"/>
    <w:rsid w:val="001A6259"/>
    <w:rsid w:val="001A6587"/>
    <w:rsid w:val="001A6C93"/>
    <w:rsid w:val="001A6FD5"/>
    <w:rsid w:val="001B2187"/>
    <w:rsid w:val="001B35BB"/>
    <w:rsid w:val="001B3A71"/>
    <w:rsid w:val="001B4469"/>
    <w:rsid w:val="001B4512"/>
    <w:rsid w:val="001B529A"/>
    <w:rsid w:val="001B6CAA"/>
    <w:rsid w:val="001B71CE"/>
    <w:rsid w:val="001B73A7"/>
    <w:rsid w:val="001C08FA"/>
    <w:rsid w:val="001C0AEE"/>
    <w:rsid w:val="001C0EE0"/>
    <w:rsid w:val="001C1E5E"/>
    <w:rsid w:val="001C1EA9"/>
    <w:rsid w:val="001C3734"/>
    <w:rsid w:val="001C48B6"/>
    <w:rsid w:val="001C5E1D"/>
    <w:rsid w:val="001C5E50"/>
    <w:rsid w:val="001C6BCF"/>
    <w:rsid w:val="001C701A"/>
    <w:rsid w:val="001D09AF"/>
    <w:rsid w:val="001D0CF4"/>
    <w:rsid w:val="001D11CE"/>
    <w:rsid w:val="001D1EAB"/>
    <w:rsid w:val="001D43C4"/>
    <w:rsid w:val="001D4C4A"/>
    <w:rsid w:val="001D4D26"/>
    <w:rsid w:val="001D5041"/>
    <w:rsid w:val="001D5991"/>
    <w:rsid w:val="001D65AE"/>
    <w:rsid w:val="001D7393"/>
    <w:rsid w:val="001D75BA"/>
    <w:rsid w:val="001D7D99"/>
    <w:rsid w:val="001E1F24"/>
    <w:rsid w:val="001E23FA"/>
    <w:rsid w:val="001E387F"/>
    <w:rsid w:val="001E3D8B"/>
    <w:rsid w:val="001E572A"/>
    <w:rsid w:val="001E5AE8"/>
    <w:rsid w:val="001E5E6A"/>
    <w:rsid w:val="001E61DD"/>
    <w:rsid w:val="001E6F31"/>
    <w:rsid w:val="001E717F"/>
    <w:rsid w:val="001F4E4B"/>
    <w:rsid w:val="001F5DB8"/>
    <w:rsid w:val="001F5EC9"/>
    <w:rsid w:val="001F62F3"/>
    <w:rsid w:val="0020026C"/>
    <w:rsid w:val="00201115"/>
    <w:rsid w:val="002015D3"/>
    <w:rsid w:val="0020214F"/>
    <w:rsid w:val="002021AF"/>
    <w:rsid w:val="00202E87"/>
    <w:rsid w:val="0020517C"/>
    <w:rsid w:val="0020558E"/>
    <w:rsid w:val="00205A2E"/>
    <w:rsid w:val="00205B4D"/>
    <w:rsid w:val="00206D2E"/>
    <w:rsid w:val="00210D05"/>
    <w:rsid w:val="00210FE4"/>
    <w:rsid w:val="0021209A"/>
    <w:rsid w:val="00212303"/>
    <w:rsid w:val="00212568"/>
    <w:rsid w:val="00212DFC"/>
    <w:rsid w:val="00213CE7"/>
    <w:rsid w:val="00214334"/>
    <w:rsid w:val="002145E6"/>
    <w:rsid w:val="00217549"/>
    <w:rsid w:val="0022093A"/>
    <w:rsid w:val="002213B2"/>
    <w:rsid w:val="002216F7"/>
    <w:rsid w:val="002243AB"/>
    <w:rsid w:val="00225279"/>
    <w:rsid w:val="00225780"/>
    <w:rsid w:val="00230A37"/>
    <w:rsid w:val="002310AE"/>
    <w:rsid w:val="00231A99"/>
    <w:rsid w:val="0023470F"/>
    <w:rsid w:val="00234CFE"/>
    <w:rsid w:val="002353C8"/>
    <w:rsid w:val="00235906"/>
    <w:rsid w:val="00236893"/>
    <w:rsid w:val="002379E1"/>
    <w:rsid w:val="00237EC4"/>
    <w:rsid w:val="00241291"/>
    <w:rsid w:val="00242D30"/>
    <w:rsid w:val="002458A1"/>
    <w:rsid w:val="002460EF"/>
    <w:rsid w:val="00246538"/>
    <w:rsid w:val="00246B95"/>
    <w:rsid w:val="00246C52"/>
    <w:rsid w:val="00250118"/>
    <w:rsid w:val="002501F3"/>
    <w:rsid w:val="002504DD"/>
    <w:rsid w:val="002515D6"/>
    <w:rsid w:val="00251777"/>
    <w:rsid w:val="00252B9D"/>
    <w:rsid w:val="002537FF"/>
    <w:rsid w:val="00255DB3"/>
    <w:rsid w:val="00256AE6"/>
    <w:rsid w:val="002571DF"/>
    <w:rsid w:val="00257A63"/>
    <w:rsid w:val="00260D6A"/>
    <w:rsid w:val="00260D9E"/>
    <w:rsid w:val="0026314E"/>
    <w:rsid w:val="00263884"/>
    <w:rsid w:val="00264896"/>
    <w:rsid w:val="00265BC1"/>
    <w:rsid w:val="00266D19"/>
    <w:rsid w:val="00267998"/>
    <w:rsid w:val="002700C1"/>
    <w:rsid w:val="00270212"/>
    <w:rsid w:val="00270F90"/>
    <w:rsid w:val="002718D0"/>
    <w:rsid w:val="00272E11"/>
    <w:rsid w:val="00272FC6"/>
    <w:rsid w:val="0027315D"/>
    <w:rsid w:val="002733CC"/>
    <w:rsid w:val="00275D5A"/>
    <w:rsid w:val="00280458"/>
    <w:rsid w:val="00280A89"/>
    <w:rsid w:val="00280C72"/>
    <w:rsid w:val="00281497"/>
    <w:rsid w:val="00281B28"/>
    <w:rsid w:val="00282BBA"/>
    <w:rsid w:val="002841A2"/>
    <w:rsid w:val="00285314"/>
    <w:rsid w:val="0028570E"/>
    <w:rsid w:val="00285B48"/>
    <w:rsid w:val="002863C6"/>
    <w:rsid w:val="002870C1"/>
    <w:rsid w:val="00287514"/>
    <w:rsid w:val="00290D41"/>
    <w:rsid w:val="00294955"/>
    <w:rsid w:val="00297270"/>
    <w:rsid w:val="002979DF"/>
    <w:rsid w:val="00297C7F"/>
    <w:rsid w:val="002A0D79"/>
    <w:rsid w:val="002A4534"/>
    <w:rsid w:val="002A7AA3"/>
    <w:rsid w:val="002B0B36"/>
    <w:rsid w:val="002B1B6E"/>
    <w:rsid w:val="002B3F18"/>
    <w:rsid w:val="002B41D9"/>
    <w:rsid w:val="002B4384"/>
    <w:rsid w:val="002B5123"/>
    <w:rsid w:val="002B58F7"/>
    <w:rsid w:val="002B7BD3"/>
    <w:rsid w:val="002C0E23"/>
    <w:rsid w:val="002C23D6"/>
    <w:rsid w:val="002C2AB9"/>
    <w:rsid w:val="002D1177"/>
    <w:rsid w:val="002D295B"/>
    <w:rsid w:val="002D3646"/>
    <w:rsid w:val="002D45D9"/>
    <w:rsid w:val="002D598A"/>
    <w:rsid w:val="002D6DEE"/>
    <w:rsid w:val="002E07BA"/>
    <w:rsid w:val="002E19ED"/>
    <w:rsid w:val="002E25B9"/>
    <w:rsid w:val="002E4FF6"/>
    <w:rsid w:val="002E58E5"/>
    <w:rsid w:val="002E68B1"/>
    <w:rsid w:val="002E778D"/>
    <w:rsid w:val="002F351A"/>
    <w:rsid w:val="002F5692"/>
    <w:rsid w:val="002F6A07"/>
    <w:rsid w:val="003001F3"/>
    <w:rsid w:val="00301F91"/>
    <w:rsid w:val="0030204C"/>
    <w:rsid w:val="003035B9"/>
    <w:rsid w:val="003045B4"/>
    <w:rsid w:val="00304DE3"/>
    <w:rsid w:val="00305ABE"/>
    <w:rsid w:val="00305C6B"/>
    <w:rsid w:val="00306883"/>
    <w:rsid w:val="003076CA"/>
    <w:rsid w:val="00310CF6"/>
    <w:rsid w:val="003120CB"/>
    <w:rsid w:val="0031219D"/>
    <w:rsid w:val="0031340E"/>
    <w:rsid w:val="003143F4"/>
    <w:rsid w:val="0031563F"/>
    <w:rsid w:val="0031587C"/>
    <w:rsid w:val="00315C6C"/>
    <w:rsid w:val="003204DF"/>
    <w:rsid w:val="003216BF"/>
    <w:rsid w:val="0032213E"/>
    <w:rsid w:val="00322D0B"/>
    <w:rsid w:val="00323A0A"/>
    <w:rsid w:val="00324C9C"/>
    <w:rsid w:val="00324F7D"/>
    <w:rsid w:val="003266CE"/>
    <w:rsid w:val="003276A3"/>
    <w:rsid w:val="00327BF9"/>
    <w:rsid w:val="00330015"/>
    <w:rsid w:val="003305DF"/>
    <w:rsid w:val="00332140"/>
    <w:rsid w:val="00332350"/>
    <w:rsid w:val="0033286E"/>
    <w:rsid w:val="00333DDE"/>
    <w:rsid w:val="00333EC4"/>
    <w:rsid w:val="003428AA"/>
    <w:rsid w:val="00342D6F"/>
    <w:rsid w:val="00343044"/>
    <w:rsid w:val="003445EE"/>
    <w:rsid w:val="0034748D"/>
    <w:rsid w:val="00350AE6"/>
    <w:rsid w:val="0035218E"/>
    <w:rsid w:val="003521EB"/>
    <w:rsid w:val="003572D1"/>
    <w:rsid w:val="0035798D"/>
    <w:rsid w:val="003609DD"/>
    <w:rsid w:val="00361F86"/>
    <w:rsid w:val="00362753"/>
    <w:rsid w:val="003639EC"/>
    <w:rsid w:val="00364B2A"/>
    <w:rsid w:val="0036583C"/>
    <w:rsid w:val="00365E3C"/>
    <w:rsid w:val="00366225"/>
    <w:rsid w:val="00366F48"/>
    <w:rsid w:val="00366FA7"/>
    <w:rsid w:val="00370C48"/>
    <w:rsid w:val="00372C10"/>
    <w:rsid w:val="00372C87"/>
    <w:rsid w:val="00375980"/>
    <w:rsid w:val="003762B7"/>
    <w:rsid w:val="00376EEC"/>
    <w:rsid w:val="0037726F"/>
    <w:rsid w:val="00380475"/>
    <w:rsid w:val="00383F3A"/>
    <w:rsid w:val="00384CF0"/>
    <w:rsid w:val="00387023"/>
    <w:rsid w:val="00387F54"/>
    <w:rsid w:val="00390E20"/>
    <w:rsid w:val="00390E80"/>
    <w:rsid w:val="00391EA9"/>
    <w:rsid w:val="00391F94"/>
    <w:rsid w:val="00392287"/>
    <w:rsid w:val="00392F38"/>
    <w:rsid w:val="003942C0"/>
    <w:rsid w:val="00394BDA"/>
    <w:rsid w:val="0039509A"/>
    <w:rsid w:val="00395908"/>
    <w:rsid w:val="00395F81"/>
    <w:rsid w:val="003963F1"/>
    <w:rsid w:val="003972ED"/>
    <w:rsid w:val="003973FA"/>
    <w:rsid w:val="003979E3"/>
    <w:rsid w:val="003A2D6A"/>
    <w:rsid w:val="003A307D"/>
    <w:rsid w:val="003A3105"/>
    <w:rsid w:val="003A37D1"/>
    <w:rsid w:val="003A56CC"/>
    <w:rsid w:val="003A6B4E"/>
    <w:rsid w:val="003B0EA4"/>
    <w:rsid w:val="003B1698"/>
    <w:rsid w:val="003B1CB4"/>
    <w:rsid w:val="003B2BEC"/>
    <w:rsid w:val="003B3B73"/>
    <w:rsid w:val="003B51AE"/>
    <w:rsid w:val="003B5684"/>
    <w:rsid w:val="003B645F"/>
    <w:rsid w:val="003B6783"/>
    <w:rsid w:val="003C02CD"/>
    <w:rsid w:val="003C1606"/>
    <w:rsid w:val="003C262B"/>
    <w:rsid w:val="003C3CDC"/>
    <w:rsid w:val="003C3F09"/>
    <w:rsid w:val="003C62D0"/>
    <w:rsid w:val="003C656D"/>
    <w:rsid w:val="003C7020"/>
    <w:rsid w:val="003D09CC"/>
    <w:rsid w:val="003D16F9"/>
    <w:rsid w:val="003D38FA"/>
    <w:rsid w:val="003E06AA"/>
    <w:rsid w:val="003E1069"/>
    <w:rsid w:val="003E1506"/>
    <w:rsid w:val="003E20C1"/>
    <w:rsid w:val="003E2334"/>
    <w:rsid w:val="003E39FC"/>
    <w:rsid w:val="003E513B"/>
    <w:rsid w:val="003E5CFE"/>
    <w:rsid w:val="003E5E98"/>
    <w:rsid w:val="003F0157"/>
    <w:rsid w:val="003F040F"/>
    <w:rsid w:val="003F2D56"/>
    <w:rsid w:val="003F2D99"/>
    <w:rsid w:val="003F3C02"/>
    <w:rsid w:val="003F44BA"/>
    <w:rsid w:val="003F48E8"/>
    <w:rsid w:val="003F4974"/>
    <w:rsid w:val="003F5690"/>
    <w:rsid w:val="003F5CAB"/>
    <w:rsid w:val="003F7F7C"/>
    <w:rsid w:val="004001FF"/>
    <w:rsid w:val="00401409"/>
    <w:rsid w:val="004035A8"/>
    <w:rsid w:val="00403980"/>
    <w:rsid w:val="004049F8"/>
    <w:rsid w:val="004053CA"/>
    <w:rsid w:val="0040641D"/>
    <w:rsid w:val="00407C2C"/>
    <w:rsid w:val="004107E1"/>
    <w:rsid w:val="00410A87"/>
    <w:rsid w:val="004121CE"/>
    <w:rsid w:val="00412525"/>
    <w:rsid w:val="00412DD6"/>
    <w:rsid w:val="00412F0B"/>
    <w:rsid w:val="00413ADA"/>
    <w:rsid w:val="00413BAE"/>
    <w:rsid w:val="00416633"/>
    <w:rsid w:val="00420922"/>
    <w:rsid w:val="00421EFF"/>
    <w:rsid w:val="00423B32"/>
    <w:rsid w:val="00425528"/>
    <w:rsid w:val="00425B78"/>
    <w:rsid w:val="004260C4"/>
    <w:rsid w:val="004279AC"/>
    <w:rsid w:val="00430C7E"/>
    <w:rsid w:val="004314C2"/>
    <w:rsid w:val="00433261"/>
    <w:rsid w:val="004346C6"/>
    <w:rsid w:val="004349A1"/>
    <w:rsid w:val="00434C52"/>
    <w:rsid w:val="0043577D"/>
    <w:rsid w:val="004367B8"/>
    <w:rsid w:val="00442F5F"/>
    <w:rsid w:val="004434C6"/>
    <w:rsid w:val="004444E1"/>
    <w:rsid w:val="004445B3"/>
    <w:rsid w:val="004451DA"/>
    <w:rsid w:val="00446346"/>
    <w:rsid w:val="0044763B"/>
    <w:rsid w:val="00451A8C"/>
    <w:rsid w:val="00451CA1"/>
    <w:rsid w:val="00453500"/>
    <w:rsid w:val="00453F1B"/>
    <w:rsid w:val="0045445D"/>
    <w:rsid w:val="00454DB3"/>
    <w:rsid w:val="0045602E"/>
    <w:rsid w:val="0045794B"/>
    <w:rsid w:val="0046388C"/>
    <w:rsid w:val="00463ED5"/>
    <w:rsid w:val="00464AF5"/>
    <w:rsid w:val="00465833"/>
    <w:rsid w:val="00465F8B"/>
    <w:rsid w:val="00470572"/>
    <w:rsid w:val="0047073E"/>
    <w:rsid w:val="00471969"/>
    <w:rsid w:val="00473206"/>
    <w:rsid w:val="00473FEE"/>
    <w:rsid w:val="004743DE"/>
    <w:rsid w:val="00475814"/>
    <w:rsid w:val="00475C1F"/>
    <w:rsid w:val="00476677"/>
    <w:rsid w:val="00476A36"/>
    <w:rsid w:val="004770AA"/>
    <w:rsid w:val="00477172"/>
    <w:rsid w:val="004828E1"/>
    <w:rsid w:val="0048353D"/>
    <w:rsid w:val="00485875"/>
    <w:rsid w:val="00486570"/>
    <w:rsid w:val="0048662C"/>
    <w:rsid w:val="0048699F"/>
    <w:rsid w:val="0048729B"/>
    <w:rsid w:val="00487F4A"/>
    <w:rsid w:val="00490859"/>
    <w:rsid w:val="004914DC"/>
    <w:rsid w:val="004919DE"/>
    <w:rsid w:val="0049370B"/>
    <w:rsid w:val="0049446A"/>
    <w:rsid w:val="00494790"/>
    <w:rsid w:val="00494F20"/>
    <w:rsid w:val="00495866"/>
    <w:rsid w:val="00495B45"/>
    <w:rsid w:val="00496609"/>
    <w:rsid w:val="00497263"/>
    <w:rsid w:val="004A03AC"/>
    <w:rsid w:val="004A0FB8"/>
    <w:rsid w:val="004A221A"/>
    <w:rsid w:val="004A2FF9"/>
    <w:rsid w:val="004A4DB3"/>
    <w:rsid w:val="004A4F6A"/>
    <w:rsid w:val="004A52EC"/>
    <w:rsid w:val="004A6E94"/>
    <w:rsid w:val="004B0AE2"/>
    <w:rsid w:val="004B20C9"/>
    <w:rsid w:val="004B2935"/>
    <w:rsid w:val="004B51A8"/>
    <w:rsid w:val="004B561F"/>
    <w:rsid w:val="004B607B"/>
    <w:rsid w:val="004B63E1"/>
    <w:rsid w:val="004B7F74"/>
    <w:rsid w:val="004C154E"/>
    <w:rsid w:val="004C1995"/>
    <w:rsid w:val="004C1C4B"/>
    <w:rsid w:val="004C2BB2"/>
    <w:rsid w:val="004C3341"/>
    <w:rsid w:val="004C3506"/>
    <w:rsid w:val="004C3B9D"/>
    <w:rsid w:val="004C57E7"/>
    <w:rsid w:val="004C6091"/>
    <w:rsid w:val="004C6126"/>
    <w:rsid w:val="004C6D43"/>
    <w:rsid w:val="004D14BA"/>
    <w:rsid w:val="004D16C8"/>
    <w:rsid w:val="004D17AF"/>
    <w:rsid w:val="004D23DE"/>
    <w:rsid w:val="004D29BE"/>
    <w:rsid w:val="004D31F0"/>
    <w:rsid w:val="004D3584"/>
    <w:rsid w:val="004D6270"/>
    <w:rsid w:val="004E0C3E"/>
    <w:rsid w:val="004E10CF"/>
    <w:rsid w:val="004E14B4"/>
    <w:rsid w:val="004E255E"/>
    <w:rsid w:val="004E2C32"/>
    <w:rsid w:val="004E2E1A"/>
    <w:rsid w:val="004E3101"/>
    <w:rsid w:val="004E39DB"/>
    <w:rsid w:val="004E3ED0"/>
    <w:rsid w:val="004E4C97"/>
    <w:rsid w:val="004E4CD4"/>
    <w:rsid w:val="004E675D"/>
    <w:rsid w:val="004E76C7"/>
    <w:rsid w:val="004F057B"/>
    <w:rsid w:val="004F309B"/>
    <w:rsid w:val="004F330F"/>
    <w:rsid w:val="004F4250"/>
    <w:rsid w:val="004F5484"/>
    <w:rsid w:val="004F5EA7"/>
    <w:rsid w:val="004F5F14"/>
    <w:rsid w:val="004F6E2E"/>
    <w:rsid w:val="004F724D"/>
    <w:rsid w:val="004F7AA7"/>
    <w:rsid w:val="005000DD"/>
    <w:rsid w:val="00500B91"/>
    <w:rsid w:val="00500E2B"/>
    <w:rsid w:val="00504BDC"/>
    <w:rsid w:val="00506A50"/>
    <w:rsid w:val="005075A9"/>
    <w:rsid w:val="005108F2"/>
    <w:rsid w:val="00510A2B"/>
    <w:rsid w:val="00511A14"/>
    <w:rsid w:val="00511F8E"/>
    <w:rsid w:val="00513646"/>
    <w:rsid w:val="005143B4"/>
    <w:rsid w:val="005144F7"/>
    <w:rsid w:val="0051488D"/>
    <w:rsid w:val="00515713"/>
    <w:rsid w:val="005160D1"/>
    <w:rsid w:val="00516185"/>
    <w:rsid w:val="005163BE"/>
    <w:rsid w:val="005166BB"/>
    <w:rsid w:val="00521677"/>
    <w:rsid w:val="00521B14"/>
    <w:rsid w:val="005232F7"/>
    <w:rsid w:val="00523A47"/>
    <w:rsid w:val="00523BEC"/>
    <w:rsid w:val="00526232"/>
    <w:rsid w:val="0052667C"/>
    <w:rsid w:val="005271FC"/>
    <w:rsid w:val="00530781"/>
    <w:rsid w:val="00532FD4"/>
    <w:rsid w:val="00533954"/>
    <w:rsid w:val="0053411C"/>
    <w:rsid w:val="00534F4E"/>
    <w:rsid w:val="00536089"/>
    <w:rsid w:val="00536B12"/>
    <w:rsid w:val="005370D3"/>
    <w:rsid w:val="00540287"/>
    <w:rsid w:val="005404B4"/>
    <w:rsid w:val="00541F7B"/>
    <w:rsid w:val="00543DC5"/>
    <w:rsid w:val="00543F46"/>
    <w:rsid w:val="00543F76"/>
    <w:rsid w:val="00544363"/>
    <w:rsid w:val="00544845"/>
    <w:rsid w:val="00545E9E"/>
    <w:rsid w:val="00551547"/>
    <w:rsid w:val="00551E8E"/>
    <w:rsid w:val="005537EF"/>
    <w:rsid w:val="00553CD7"/>
    <w:rsid w:val="0055599E"/>
    <w:rsid w:val="00556225"/>
    <w:rsid w:val="00557A84"/>
    <w:rsid w:val="00563199"/>
    <w:rsid w:val="00564101"/>
    <w:rsid w:val="005656BD"/>
    <w:rsid w:val="00566B4F"/>
    <w:rsid w:val="0056708F"/>
    <w:rsid w:val="00570F1C"/>
    <w:rsid w:val="005734A3"/>
    <w:rsid w:val="005735B4"/>
    <w:rsid w:val="00574F99"/>
    <w:rsid w:val="005754F7"/>
    <w:rsid w:val="0057649F"/>
    <w:rsid w:val="00576804"/>
    <w:rsid w:val="00576A7B"/>
    <w:rsid w:val="00580040"/>
    <w:rsid w:val="0058158D"/>
    <w:rsid w:val="00581BF2"/>
    <w:rsid w:val="0058289B"/>
    <w:rsid w:val="00582FF0"/>
    <w:rsid w:val="0058302E"/>
    <w:rsid w:val="00583842"/>
    <w:rsid w:val="005840E9"/>
    <w:rsid w:val="00585106"/>
    <w:rsid w:val="00590650"/>
    <w:rsid w:val="0059068A"/>
    <w:rsid w:val="005913CE"/>
    <w:rsid w:val="00595076"/>
    <w:rsid w:val="00596AAB"/>
    <w:rsid w:val="00596DC2"/>
    <w:rsid w:val="005A0401"/>
    <w:rsid w:val="005A041F"/>
    <w:rsid w:val="005A08EA"/>
    <w:rsid w:val="005A3177"/>
    <w:rsid w:val="005A5378"/>
    <w:rsid w:val="005A6CAC"/>
    <w:rsid w:val="005A6DEA"/>
    <w:rsid w:val="005B01D7"/>
    <w:rsid w:val="005B03CC"/>
    <w:rsid w:val="005B476A"/>
    <w:rsid w:val="005B504E"/>
    <w:rsid w:val="005B6A63"/>
    <w:rsid w:val="005B6DD9"/>
    <w:rsid w:val="005B6EDF"/>
    <w:rsid w:val="005B77DB"/>
    <w:rsid w:val="005C0233"/>
    <w:rsid w:val="005C0AAF"/>
    <w:rsid w:val="005C1C2E"/>
    <w:rsid w:val="005C2E01"/>
    <w:rsid w:val="005C3321"/>
    <w:rsid w:val="005C419B"/>
    <w:rsid w:val="005C5397"/>
    <w:rsid w:val="005C669D"/>
    <w:rsid w:val="005C7AEE"/>
    <w:rsid w:val="005D1966"/>
    <w:rsid w:val="005D3358"/>
    <w:rsid w:val="005D391F"/>
    <w:rsid w:val="005D5005"/>
    <w:rsid w:val="005D5638"/>
    <w:rsid w:val="005D6075"/>
    <w:rsid w:val="005D6941"/>
    <w:rsid w:val="005D6C85"/>
    <w:rsid w:val="005E3620"/>
    <w:rsid w:val="005E3BE5"/>
    <w:rsid w:val="005E49E6"/>
    <w:rsid w:val="005E6CEF"/>
    <w:rsid w:val="005E7E6D"/>
    <w:rsid w:val="005F01F7"/>
    <w:rsid w:val="005F1437"/>
    <w:rsid w:val="005F1BB2"/>
    <w:rsid w:val="005F357D"/>
    <w:rsid w:val="005F368A"/>
    <w:rsid w:val="005F381D"/>
    <w:rsid w:val="005F4FD4"/>
    <w:rsid w:val="005F542E"/>
    <w:rsid w:val="005F5C60"/>
    <w:rsid w:val="005F68E4"/>
    <w:rsid w:val="00600359"/>
    <w:rsid w:val="00600FE0"/>
    <w:rsid w:val="00601F8F"/>
    <w:rsid w:val="00602568"/>
    <w:rsid w:val="006033AB"/>
    <w:rsid w:val="006058E6"/>
    <w:rsid w:val="00606489"/>
    <w:rsid w:val="006072FC"/>
    <w:rsid w:val="00610C45"/>
    <w:rsid w:val="00611421"/>
    <w:rsid w:val="006114A2"/>
    <w:rsid w:val="00615D00"/>
    <w:rsid w:val="006162E8"/>
    <w:rsid w:val="00616322"/>
    <w:rsid w:val="006213B8"/>
    <w:rsid w:val="006215A2"/>
    <w:rsid w:val="0062251B"/>
    <w:rsid w:val="006242B8"/>
    <w:rsid w:val="00624DF4"/>
    <w:rsid w:val="006251EA"/>
    <w:rsid w:val="00625EBB"/>
    <w:rsid w:val="00625ED2"/>
    <w:rsid w:val="0062654F"/>
    <w:rsid w:val="00626B27"/>
    <w:rsid w:val="00626B85"/>
    <w:rsid w:val="00626EEC"/>
    <w:rsid w:val="00626EF8"/>
    <w:rsid w:val="0063086A"/>
    <w:rsid w:val="00631488"/>
    <w:rsid w:val="00632A00"/>
    <w:rsid w:val="00633058"/>
    <w:rsid w:val="0063349F"/>
    <w:rsid w:val="00633558"/>
    <w:rsid w:val="006342B1"/>
    <w:rsid w:val="0063617F"/>
    <w:rsid w:val="00636219"/>
    <w:rsid w:val="006414D3"/>
    <w:rsid w:val="00643415"/>
    <w:rsid w:val="006448B7"/>
    <w:rsid w:val="00644E8C"/>
    <w:rsid w:val="00645E75"/>
    <w:rsid w:val="00646196"/>
    <w:rsid w:val="00647270"/>
    <w:rsid w:val="006531BC"/>
    <w:rsid w:val="0065479F"/>
    <w:rsid w:val="00654B33"/>
    <w:rsid w:val="00654CC5"/>
    <w:rsid w:val="00655F93"/>
    <w:rsid w:val="006568BC"/>
    <w:rsid w:val="0066014E"/>
    <w:rsid w:val="0066180C"/>
    <w:rsid w:val="006618D2"/>
    <w:rsid w:val="00661B42"/>
    <w:rsid w:val="00662183"/>
    <w:rsid w:val="00662375"/>
    <w:rsid w:val="0066453A"/>
    <w:rsid w:val="00664CEC"/>
    <w:rsid w:val="00670932"/>
    <w:rsid w:val="00670999"/>
    <w:rsid w:val="00671788"/>
    <w:rsid w:val="00671853"/>
    <w:rsid w:val="00671FFB"/>
    <w:rsid w:val="00672E7A"/>
    <w:rsid w:val="00673426"/>
    <w:rsid w:val="00673795"/>
    <w:rsid w:val="00674440"/>
    <w:rsid w:val="00674D82"/>
    <w:rsid w:val="00676DBA"/>
    <w:rsid w:val="00677183"/>
    <w:rsid w:val="006772BE"/>
    <w:rsid w:val="00677CF6"/>
    <w:rsid w:val="00677D52"/>
    <w:rsid w:val="006816ED"/>
    <w:rsid w:val="00682761"/>
    <w:rsid w:val="00684212"/>
    <w:rsid w:val="00684579"/>
    <w:rsid w:val="0068486C"/>
    <w:rsid w:val="006851D7"/>
    <w:rsid w:val="006853B6"/>
    <w:rsid w:val="00686D77"/>
    <w:rsid w:val="00690BC5"/>
    <w:rsid w:val="00691885"/>
    <w:rsid w:val="00693B35"/>
    <w:rsid w:val="00693D98"/>
    <w:rsid w:val="00694F04"/>
    <w:rsid w:val="00697496"/>
    <w:rsid w:val="00697B37"/>
    <w:rsid w:val="00697E4D"/>
    <w:rsid w:val="00697F95"/>
    <w:rsid w:val="006A247E"/>
    <w:rsid w:val="006A4C0B"/>
    <w:rsid w:val="006A4C12"/>
    <w:rsid w:val="006A56DB"/>
    <w:rsid w:val="006A59B6"/>
    <w:rsid w:val="006A5DDA"/>
    <w:rsid w:val="006A7845"/>
    <w:rsid w:val="006A7BA0"/>
    <w:rsid w:val="006B01AF"/>
    <w:rsid w:val="006B06FF"/>
    <w:rsid w:val="006B0AD3"/>
    <w:rsid w:val="006B29FE"/>
    <w:rsid w:val="006B2DCF"/>
    <w:rsid w:val="006B5C7C"/>
    <w:rsid w:val="006C0019"/>
    <w:rsid w:val="006C1369"/>
    <w:rsid w:val="006C2AB7"/>
    <w:rsid w:val="006C3331"/>
    <w:rsid w:val="006C3B3C"/>
    <w:rsid w:val="006C453A"/>
    <w:rsid w:val="006C5E2D"/>
    <w:rsid w:val="006D0B5E"/>
    <w:rsid w:val="006D11B5"/>
    <w:rsid w:val="006D202C"/>
    <w:rsid w:val="006D2DF2"/>
    <w:rsid w:val="006D350A"/>
    <w:rsid w:val="006D5861"/>
    <w:rsid w:val="006D66A1"/>
    <w:rsid w:val="006D7F11"/>
    <w:rsid w:val="006E1F68"/>
    <w:rsid w:val="006E306A"/>
    <w:rsid w:val="006E35B4"/>
    <w:rsid w:val="006E3FE5"/>
    <w:rsid w:val="006E41F6"/>
    <w:rsid w:val="006E4D34"/>
    <w:rsid w:val="006E6563"/>
    <w:rsid w:val="006E7750"/>
    <w:rsid w:val="006E7BDD"/>
    <w:rsid w:val="006F085C"/>
    <w:rsid w:val="006F0904"/>
    <w:rsid w:val="006F2B89"/>
    <w:rsid w:val="006F3DC2"/>
    <w:rsid w:val="006F3EF0"/>
    <w:rsid w:val="006F4606"/>
    <w:rsid w:val="006F4B05"/>
    <w:rsid w:val="006F4FA1"/>
    <w:rsid w:val="006F7EB0"/>
    <w:rsid w:val="0070143A"/>
    <w:rsid w:val="00701B7C"/>
    <w:rsid w:val="00701ED2"/>
    <w:rsid w:val="007024B8"/>
    <w:rsid w:val="00702A7E"/>
    <w:rsid w:val="007037E2"/>
    <w:rsid w:val="007042BE"/>
    <w:rsid w:val="007049E0"/>
    <w:rsid w:val="00705CB7"/>
    <w:rsid w:val="00706B4B"/>
    <w:rsid w:val="0070760E"/>
    <w:rsid w:val="007076E8"/>
    <w:rsid w:val="00707B75"/>
    <w:rsid w:val="00710E5C"/>
    <w:rsid w:val="00711C8E"/>
    <w:rsid w:val="00715B84"/>
    <w:rsid w:val="00716435"/>
    <w:rsid w:val="00717DB9"/>
    <w:rsid w:val="00720A46"/>
    <w:rsid w:val="00721B1B"/>
    <w:rsid w:val="00722040"/>
    <w:rsid w:val="00723665"/>
    <w:rsid w:val="007242CD"/>
    <w:rsid w:val="00726B58"/>
    <w:rsid w:val="00726E6C"/>
    <w:rsid w:val="00727AD2"/>
    <w:rsid w:val="00727DC8"/>
    <w:rsid w:val="00730154"/>
    <w:rsid w:val="00731D9A"/>
    <w:rsid w:val="00734E2B"/>
    <w:rsid w:val="00735C84"/>
    <w:rsid w:val="00735D1D"/>
    <w:rsid w:val="0073681F"/>
    <w:rsid w:val="00736BE4"/>
    <w:rsid w:val="00737564"/>
    <w:rsid w:val="00740C0F"/>
    <w:rsid w:val="00741AE1"/>
    <w:rsid w:val="00741C45"/>
    <w:rsid w:val="007436D1"/>
    <w:rsid w:val="007440EB"/>
    <w:rsid w:val="007443C9"/>
    <w:rsid w:val="007443D0"/>
    <w:rsid w:val="00744440"/>
    <w:rsid w:val="007500C7"/>
    <w:rsid w:val="00753029"/>
    <w:rsid w:val="007532E1"/>
    <w:rsid w:val="0075608A"/>
    <w:rsid w:val="007563B1"/>
    <w:rsid w:val="00760663"/>
    <w:rsid w:val="00760DCA"/>
    <w:rsid w:val="0076229F"/>
    <w:rsid w:val="007625EA"/>
    <w:rsid w:val="00762895"/>
    <w:rsid w:val="00763A3A"/>
    <w:rsid w:val="00763E8A"/>
    <w:rsid w:val="007655A8"/>
    <w:rsid w:val="00770BBF"/>
    <w:rsid w:val="0077166D"/>
    <w:rsid w:val="00771C54"/>
    <w:rsid w:val="007727C0"/>
    <w:rsid w:val="00772FD9"/>
    <w:rsid w:val="0077501C"/>
    <w:rsid w:val="007758E5"/>
    <w:rsid w:val="00775CD4"/>
    <w:rsid w:val="00775EB1"/>
    <w:rsid w:val="007770D9"/>
    <w:rsid w:val="00777596"/>
    <w:rsid w:val="007801A2"/>
    <w:rsid w:val="00780DFB"/>
    <w:rsid w:val="00780FF0"/>
    <w:rsid w:val="00781DD7"/>
    <w:rsid w:val="0078349D"/>
    <w:rsid w:val="0078379A"/>
    <w:rsid w:val="007845CB"/>
    <w:rsid w:val="00785F36"/>
    <w:rsid w:val="00786963"/>
    <w:rsid w:val="00790029"/>
    <w:rsid w:val="00791736"/>
    <w:rsid w:val="0079279A"/>
    <w:rsid w:val="00792C0E"/>
    <w:rsid w:val="0079567E"/>
    <w:rsid w:val="00795CDB"/>
    <w:rsid w:val="007967EE"/>
    <w:rsid w:val="00797C66"/>
    <w:rsid w:val="007A0565"/>
    <w:rsid w:val="007A0C7E"/>
    <w:rsid w:val="007A0DAB"/>
    <w:rsid w:val="007A1233"/>
    <w:rsid w:val="007A2E86"/>
    <w:rsid w:val="007A63F2"/>
    <w:rsid w:val="007A737F"/>
    <w:rsid w:val="007B0BC0"/>
    <w:rsid w:val="007B3AB3"/>
    <w:rsid w:val="007B6C3B"/>
    <w:rsid w:val="007B6E4C"/>
    <w:rsid w:val="007B7FA8"/>
    <w:rsid w:val="007C002B"/>
    <w:rsid w:val="007C22D7"/>
    <w:rsid w:val="007C350A"/>
    <w:rsid w:val="007C3AC8"/>
    <w:rsid w:val="007C3B8C"/>
    <w:rsid w:val="007C5A93"/>
    <w:rsid w:val="007C5F22"/>
    <w:rsid w:val="007D0706"/>
    <w:rsid w:val="007D25A3"/>
    <w:rsid w:val="007D2CA9"/>
    <w:rsid w:val="007D3D52"/>
    <w:rsid w:val="007D3E48"/>
    <w:rsid w:val="007D4D73"/>
    <w:rsid w:val="007D4E27"/>
    <w:rsid w:val="007D5B37"/>
    <w:rsid w:val="007D5BB8"/>
    <w:rsid w:val="007D618B"/>
    <w:rsid w:val="007D71CF"/>
    <w:rsid w:val="007D7CAB"/>
    <w:rsid w:val="007E09A8"/>
    <w:rsid w:val="007E09D5"/>
    <w:rsid w:val="007E10EE"/>
    <w:rsid w:val="007E219C"/>
    <w:rsid w:val="007E505D"/>
    <w:rsid w:val="007E5B30"/>
    <w:rsid w:val="007E646E"/>
    <w:rsid w:val="007E6B70"/>
    <w:rsid w:val="007E7983"/>
    <w:rsid w:val="007F024E"/>
    <w:rsid w:val="007F0FAC"/>
    <w:rsid w:val="007F3D9A"/>
    <w:rsid w:val="007F59E6"/>
    <w:rsid w:val="007F6ACB"/>
    <w:rsid w:val="007F78EF"/>
    <w:rsid w:val="00800C1F"/>
    <w:rsid w:val="00800CC0"/>
    <w:rsid w:val="00802C09"/>
    <w:rsid w:val="00804B4B"/>
    <w:rsid w:val="00805956"/>
    <w:rsid w:val="00806C64"/>
    <w:rsid w:val="00807071"/>
    <w:rsid w:val="00810F0E"/>
    <w:rsid w:val="0081197F"/>
    <w:rsid w:val="0081309C"/>
    <w:rsid w:val="00815D6F"/>
    <w:rsid w:val="00816676"/>
    <w:rsid w:val="008204E2"/>
    <w:rsid w:val="00820BA4"/>
    <w:rsid w:val="00822320"/>
    <w:rsid w:val="00822FBC"/>
    <w:rsid w:val="00823EBE"/>
    <w:rsid w:val="008256E0"/>
    <w:rsid w:val="00826B46"/>
    <w:rsid w:val="00826C87"/>
    <w:rsid w:val="008303B8"/>
    <w:rsid w:val="008306F7"/>
    <w:rsid w:val="00830EF4"/>
    <w:rsid w:val="00831097"/>
    <w:rsid w:val="008318DD"/>
    <w:rsid w:val="008319CB"/>
    <w:rsid w:val="00831E1C"/>
    <w:rsid w:val="008333C1"/>
    <w:rsid w:val="008354EC"/>
    <w:rsid w:val="008362C5"/>
    <w:rsid w:val="0083644C"/>
    <w:rsid w:val="00836677"/>
    <w:rsid w:val="00836E30"/>
    <w:rsid w:val="00836F02"/>
    <w:rsid w:val="008406CE"/>
    <w:rsid w:val="008409C6"/>
    <w:rsid w:val="008425C7"/>
    <w:rsid w:val="0084270E"/>
    <w:rsid w:val="00842A5B"/>
    <w:rsid w:val="00844523"/>
    <w:rsid w:val="008457B3"/>
    <w:rsid w:val="00845BCE"/>
    <w:rsid w:val="008465EA"/>
    <w:rsid w:val="0084705F"/>
    <w:rsid w:val="008470AA"/>
    <w:rsid w:val="008478A9"/>
    <w:rsid w:val="00851292"/>
    <w:rsid w:val="00852A2F"/>
    <w:rsid w:val="00852B92"/>
    <w:rsid w:val="00853C57"/>
    <w:rsid w:val="00854348"/>
    <w:rsid w:val="008559B7"/>
    <w:rsid w:val="008559DC"/>
    <w:rsid w:val="00856A67"/>
    <w:rsid w:val="00856DDC"/>
    <w:rsid w:val="00862DE0"/>
    <w:rsid w:val="00863154"/>
    <w:rsid w:val="008632C2"/>
    <w:rsid w:val="00864D9D"/>
    <w:rsid w:val="00865A3B"/>
    <w:rsid w:val="008661F0"/>
    <w:rsid w:val="00870722"/>
    <w:rsid w:val="0087079A"/>
    <w:rsid w:val="0087094E"/>
    <w:rsid w:val="00873D9F"/>
    <w:rsid w:val="00873F2E"/>
    <w:rsid w:val="00875F28"/>
    <w:rsid w:val="0087642E"/>
    <w:rsid w:val="00876DAE"/>
    <w:rsid w:val="0087733A"/>
    <w:rsid w:val="008815EF"/>
    <w:rsid w:val="00881986"/>
    <w:rsid w:val="00882319"/>
    <w:rsid w:val="00883BE4"/>
    <w:rsid w:val="008846DF"/>
    <w:rsid w:val="00885B2E"/>
    <w:rsid w:val="00885F3F"/>
    <w:rsid w:val="008870F8"/>
    <w:rsid w:val="00891C5B"/>
    <w:rsid w:val="008933D3"/>
    <w:rsid w:val="00894669"/>
    <w:rsid w:val="00894877"/>
    <w:rsid w:val="0089492F"/>
    <w:rsid w:val="00895989"/>
    <w:rsid w:val="00895B28"/>
    <w:rsid w:val="0089702E"/>
    <w:rsid w:val="008976CC"/>
    <w:rsid w:val="008A055A"/>
    <w:rsid w:val="008A2223"/>
    <w:rsid w:val="008A3B50"/>
    <w:rsid w:val="008A440F"/>
    <w:rsid w:val="008A48E5"/>
    <w:rsid w:val="008A4C6A"/>
    <w:rsid w:val="008A5794"/>
    <w:rsid w:val="008A5B4F"/>
    <w:rsid w:val="008A5B81"/>
    <w:rsid w:val="008A65CE"/>
    <w:rsid w:val="008A77F0"/>
    <w:rsid w:val="008B030D"/>
    <w:rsid w:val="008B0F3F"/>
    <w:rsid w:val="008B17BA"/>
    <w:rsid w:val="008B1975"/>
    <w:rsid w:val="008B2BC6"/>
    <w:rsid w:val="008B41F5"/>
    <w:rsid w:val="008B55F2"/>
    <w:rsid w:val="008C03DE"/>
    <w:rsid w:val="008C11D7"/>
    <w:rsid w:val="008C27FC"/>
    <w:rsid w:val="008C36EB"/>
    <w:rsid w:val="008C3A68"/>
    <w:rsid w:val="008C3B76"/>
    <w:rsid w:val="008C4895"/>
    <w:rsid w:val="008C61CD"/>
    <w:rsid w:val="008C6C7E"/>
    <w:rsid w:val="008C7880"/>
    <w:rsid w:val="008C7C46"/>
    <w:rsid w:val="008C7F36"/>
    <w:rsid w:val="008D01E0"/>
    <w:rsid w:val="008D26D9"/>
    <w:rsid w:val="008D3018"/>
    <w:rsid w:val="008D3DF2"/>
    <w:rsid w:val="008D477C"/>
    <w:rsid w:val="008D562A"/>
    <w:rsid w:val="008D5679"/>
    <w:rsid w:val="008D7F46"/>
    <w:rsid w:val="008E0E3D"/>
    <w:rsid w:val="008E1700"/>
    <w:rsid w:val="008E5113"/>
    <w:rsid w:val="008E5FA6"/>
    <w:rsid w:val="008E7075"/>
    <w:rsid w:val="008E75EB"/>
    <w:rsid w:val="008E7E88"/>
    <w:rsid w:val="008F0EDA"/>
    <w:rsid w:val="008F2AAC"/>
    <w:rsid w:val="008F320B"/>
    <w:rsid w:val="008F4BFD"/>
    <w:rsid w:val="008F5F62"/>
    <w:rsid w:val="00900185"/>
    <w:rsid w:val="00900C55"/>
    <w:rsid w:val="009010B4"/>
    <w:rsid w:val="009011EC"/>
    <w:rsid w:val="009013D5"/>
    <w:rsid w:val="00901B15"/>
    <w:rsid w:val="00901B81"/>
    <w:rsid w:val="00901BB5"/>
    <w:rsid w:val="00901E96"/>
    <w:rsid w:val="00902C76"/>
    <w:rsid w:val="009041EC"/>
    <w:rsid w:val="00906A40"/>
    <w:rsid w:val="00912AC2"/>
    <w:rsid w:val="00913343"/>
    <w:rsid w:val="00913D1D"/>
    <w:rsid w:val="009152B7"/>
    <w:rsid w:val="00915A56"/>
    <w:rsid w:val="00915B9A"/>
    <w:rsid w:val="00917968"/>
    <w:rsid w:val="00920236"/>
    <w:rsid w:val="009217B8"/>
    <w:rsid w:val="00922D26"/>
    <w:rsid w:val="009255F3"/>
    <w:rsid w:val="00930243"/>
    <w:rsid w:val="0093082F"/>
    <w:rsid w:val="009317A7"/>
    <w:rsid w:val="00933A9D"/>
    <w:rsid w:val="009347D5"/>
    <w:rsid w:val="009348A4"/>
    <w:rsid w:val="009370B8"/>
    <w:rsid w:val="0093728A"/>
    <w:rsid w:val="00937304"/>
    <w:rsid w:val="009375BE"/>
    <w:rsid w:val="009401A0"/>
    <w:rsid w:val="00940354"/>
    <w:rsid w:val="009414DF"/>
    <w:rsid w:val="00941985"/>
    <w:rsid w:val="009421CE"/>
    <w:rsid w:val="00942386"/>
    <w:rsid w:val="009423FE"/>
    <w:rsid w:val="009429CA"/>
    <w:rsid w:val="00942EBF"/>
    <w:rsid w:val="0094336F"/>
    <w:rsid w:val="009458F8"/>
    <w:rsid w:val="00945B2A"/>
    <w:rsid w:val="00946542"/>
    <w:rsid w:val="009511EE"/>
    <w:rsid w:val="0095154D"/>
    <w:rsid w:val="009518BE"/>
    <w:rsid w:val="009519BB"/>
    <w:rsid w:val="0095262E"/>
    <w:rsid w:val="00952705"/>
    <w:rsid w:val="00952AA9"/>
    <w:rsid w:val="00953296"/>
    <w:rsid w:val="00953DEA"/>
    <w:rsid w:val="00954147"/>
    <w:rsid w:val="00954451"/>
    <w:rsid w:val="009578F6"/>
    <w:rsid w:val="00957F71"/>
    <w:rsid w:val="00962471"/>
    <w:rsid w:val="00964397"/>
    <w:rsid w:val="009657A6"/>
    <w:rsid w:val="00965A01"/>
    <w:rsid w:val="009665FC"/>
    <w:rsid w:val="00967423"/>
    <w:rsid w:val="0097067C"/>
    <w:rsid w:val="00970C5D"/>
    <w:rsid w:val="00970F0F"/>
    <w:rsid w:val="009729C6"/>
    <w:rsid w:val="00973526"/>
    <w:rsid w:val="009736B8"/>
    <w:rsid w:val="00973714"/>
    <w:rsid w:val="00974C0F"/>
    <w:rsid w:val="00974E9B"/>
    <w:rsid w:val="0097527A"/>
    <w:rsid w:val="0097594F"/>
    <w:rsid w:val="00975FA2"/>
    <w:rsid w:val="0098018A"/>
    <w:rsid w:val="00980BB4"/>
    <w:rsid w:val="00981452"/>
    <w:rsid w:val="00981686"/>
    <w:rsid w:val="00981EE7"/>
    <w:rsid w:val="0098232F"/>
    <w:rsid w:val="00982890"/>
    <w:rsid w:val="009828A7"/>
    <w:rsid w:val="009846B6"/>
    <w:rsid w:val="00984F34"/>
    <w:rsid w:val="00986E1E"/>
    <w:rsid w:val="00987100"/>
    <w:rsid w:val="0098728F"/>
    <w:rsid w:val="00990B5D"/>
    <w:rsid w:val="0099175D"/>
    <w:rsid w:val="009938CC"/>
    <w:rsid w:val="009948BE"/>
    <w:rsid w:val="00995BD9"/>
    <w:rsid w:val="00997291"/>
    <w:rsid w:val="00997ECB"/>
    <w:rsid w:val="009A0E75"/>
    <w:rsid w:val="009A19F2"/>
    <w:rsid w:val="009A2480"/>
    <w:rsid w:val="009A2C8B"/>
    <w:rsid w:val="009A3F9C"/>
    <w:rsid w:val="009A492B"/>
    <w:rsid w:val="009A61DF"/>
    <w:rsid w:val="009A641B"/>
    <w:rsid w:val="009A689A"/>
    <w:rsid w:val="009B0295"/>
    <w:rsid w:val="009B0552"/>
    <w:rsid w:val="009B1C88"/>
    <w:rsid w:val="009B413B"/>
    <w:rsid w:val="009B467E"/>
    <w:rsid w:val="009B5785"/>
    <w:rsid w:val="009B6129"/>
    <w:rsid w:val="009B68D0"/>
    <w:rsid w:val="009B71F2"/>
    <w:rsid w:val="009B774A"/>
    <w:rsid w:val="009B7BA2"/>
    <w:rsid w:val="009B7E87"/>
    <w:rsid w:val="009C0C87"/>
    <w:rsid w:val="009C0F66"/>
    <w:rsid w:val="009C21E5"/>
    <w:rsid w:val="009C5FCE"/>
    <w:rsid w:val="009C611B"/>
    <w:rsid w:val="009C7C5E"/>
    <w:rsid w:val="009D0551"/>
    <w:rsid w:val="009D1DBF"/>
    <w:rsid w:val="009D2696"/>
    <w:rsid w:val="009D3308"/>
    <w:rsid w:val="009D399A"/>
    <w:rsid w:val="009D42A8"/>
    <w:rsid w:val="009D4DF1"/>
    <w:rsid w:val="009D4F26"/>
    <w:rsid w:val="009D6775"/>
    <w:rsid w:val="009D689F"/>
    <w:rsid w:val="009D6DA8"/>
    <w:rsid w:val="009E218C"/>
    <w:rsid w:val="009E39DB"/>
    <w:rsid w:val="009E3A5A"/>
    <w:rsid w:val="009E4934"/>
    <w:rsid w:val="009E5A76"/>
    <w:rsid w:val="009E6130"/>
    <w:rsid w:val="009E6F2D"/>
    <w:rsid w:val="009E7293"/>
    <w:rsid w:val="009F18F2"/>
    <w:rsid w:val="009F293E"/>
    <w:rsid w:val="009F2B33"/>
    <w:rsid w:val="009F32DA"/>
    <w:rsid w:val="009F33A9"/>
    <w:rsid w:val="009F4251"/>
    <w:rsid w:val="009F4F78"/>
    <w:rsid w:val="009F7A8A"/>
    <w:rsid w:val="00A01BB6"/>
    <w:rsid w:val="00A0278E"/>
    <w:rsid w:val="00A0389A"/>
    <w:rsid w:val="00A0463D"/>
    <w:rsid w:val="00A057B2"/>
    <w:rsid w:val="00A062D7"/>
    <w:rsid w:val="00A06416"/>
    <w:rsid w:val="00A069F2"/>
    <w:rsid w:val="00A06ABE"/>
    <w:rsid w:val="00A077F5"/>
    <w:rsid w:val="00A1008A"/>
    <w:rsid w:val="00A118DF"/>
    <w:rsid w:val="00A12483"/>
    <w:rsid w:val="00A12900"/>
    <w:rsid w:val="00A14408"/>
    <w:rsid w:val="00A15717"/>
    <w:rsid w:val="00A167B9"/>
    <w:rsid w:val="00A16B61"/>
    <w:rsid w:val="00A2555F"/>
    <w:rsid w:val="00A26308"/>
    <w:rsid w:val="00A27931"/>
    <w:rsid w:val="00A27DF2"/>
    <w:rsid w:val="00A27F2A"/>
    <w:rsid w:val="00A309F3"/>
    <w:rsid w:val="00A3147F"/>
    <w:rsid w:val="00A31B06"/>
    <w:rsid w:val="00A3302D"/>
    <w:rsid w:val="00A330C6"/>
    <w:rsid w:val="00A333FE"/>
    <w:rsid w:val="00A33CEB"/>
    <w:rsid w:val="00A35FE3"/>
    <w:rsid w:val="00A41916"/>
    <w:rsid w:val="00A436B9"/>
    <w:rsid w:val="00A437AB"/>
    <w:rsid w:val="00A437FA"/>
    <w:rsid w:val="00A43822"/>
    <w:rsid w:val="00A438D8"/>
    <w:rsid w:val="00A44916"/>
    <w:rsid w:val="00A4564C"/>
    <w:rsid w:val="00A46B2A"/>
    <w:rsid w:val="00A47649"/>
    <w:rsid w:val="00A47957"/>
    <w:rsid w:val="00A47FB4"/>
    <w:rsid w:val="00A47FCD"/>
    <w:rsid w:val="00A507A1"/>
    <w:rsid w:val="00A51F0F"/>
    <w:rsid w:val="00A51F5F"/>
    <w:rsid w:val="00A5247B"/>
    <w:rsid w:val="00A52DB4"/>
    <w:rsid w:val="00A52FC0"/>
    <w:rsid w:val="00A53D5C"/>
    <w:rsid w:val="00A543FE"/>
    <w:rsid w:val="00A545D4"/>
    <w:rsid w:val="00A55B0A"/>
    <w:rsid w:val="00A567BE"/>
    <w:rsid w:val="00A567C9"/>
    <w:rsid w:val="00A56C4F"/>
    <w:rsid w:val="00A57CD9"/>
    <w:rsid w:val="00A60701"/>
    <w:rsid w:val="00A6070A"/>
    <w:rsid w:val="00A60981"/>
    <w:rsid w:val="00A6238B"/>
    <w:rsid w:val="00A62BAD"/>
    <w:rsid w:val="00A64294"/>
    <w:rsid w:val="00A65B11"/>
    <w:rsid w:val="00A65B57"/>
    <w:rsid w:val="00A65DAA"/>
    <w:rsid w:val="00A665A5"/>
    <w:rsid w:val="00A72B19"/>
    <w:rsid w:val="00A7309E"/>
    <w:rsid w:val="00A829D7"/>
    <w:rsid w:val="00A84E17"/>
    <w:rsid w:val="00A84F33"/>
    <w:rsid w:val="00A86282"/>
    <w:rsid w:val="00A86AC4"/>
    <w:rsid w:val="00A929C5"/>
    <w:rsid w:val="00A93413"/>
    <w:rsid w:val="00A94B39"/>
    <w:rsid w:val="00A96DFC"/>
    <w:rsid w:val="00A96F9D"/>
    <w:rsid w:val="00AA0C75"/>
    <w:rsid w:val="00AA20C3"/>
    <w:rsid w:val="00AA263D"/>
    <w:rsid w:val="00AA2B69"/>
    <w:rsid w:val="00AA3EFF"/>
    <w:rsid w:val="00AA4C33"/>
    <w:rsid w:val="00AA4F6D"/>
    <w:rsid w:val="00AA57B7"/>
    <w:rsid w:val="00AA57F5"/>
    <w:rsid w:val="00AA5E7C"/>
    <w:rsid w:val="00AB0379"/>
    <w:rsid w:val="00AB0DF9"/>
    <w:rsid w:val="00AB2D06"/>
    <w:rsid w:val="00AB3B2B"/>
    <w:rsid w:val="00AB40C5"/>
    <w:rsid w:val="00AB45B3"/>
    <w:rsid w:val="00AB73FE"/>
    <w:rsid w:val="00AB7E70"/>
    <w:rsid w:val="00AC07CE"/>
    <w:rsid w:val="00AC0893"/>
    <w:rsid w:val="00AC0AB8"/>
    <w:rsid w:val="00AC0B5B"/>
    <w:rsid w:val="00AC1D63"/>
    <w:rsid w:val="00AC2481"/>
    <w:rsid w:val="00AC2FA2"/>
    <w:rsid w:val="00AC324E"/>
    <w:rsid w:val="00AC3EA5"/>
    <w:rsid w:val="00AC49DE"/>
    <w:rsid w:val="00AC58A9"/>
    <w:rsid w:val="00AC65E4"/>
    <w:rsid w:val="00AC669C"/>
    <w:rsid w:val="00AC6CC6"/>
    <w:rsid w:val="00AC7348"/>
    <w:rsid w:val="00AC7642"/>
    <w:rsid w:val="00AD1809"/>
    <w:rsid w:val="00AD1D48"/>
    <w:rsid w:val="00AD37D3"/>
    <w:rsid w:val="00AD3907"/>
    <w:rsid w:val="00AD39A3"/>
    <w:rsid w:val="00AD52F1"/>
    <w:rsid w:val="00AD5A92"/>
    <w:rsid w:val="00AD6442"/>
    <w:rsid w:val="00AD68DE"/>
    <w:rsid w:val="00AE0473"/>
    <w:rsid w:val="00AE0489"/>
    <w:rsid w:val="00AE0F8C"/>
    <w:rsid w:val="00AE1996"/>
    <w:rsid w:val="00AE2BA8"/>
    <w:rsid w:val="00AE3BFD"/>
    <w:rsid w:val="00AE5E76"/>
    <w:rsid w:val="00AE7E17"/>
    <w:rsid w:val="00AF0710"/>
    <w:rsid w:val="00AF1BF1"/>
    <w:rsid w:val="00AF219B"/>
    <w:rsid w:val="00AF224B"/>
    <w:rsid w:val="00AF3CF6"/>
    <w:rsid w:val="00AF5316"/>
    <w:rsid w:val="00AF6458"/>
    <w:rsid w:val="00AF6721"/>
    <w:rsid w:val="00AF6A7B"/>
    <w:rsid w:val="00B0239C"/>
    <w:rsid w:val="00B02E7E"/>
    <w:rsid w:val="00B03352"/>
    <w:rsid w:val="00B0389B"/>
    <w:rsid w:val="00B05197"/>
    <w:rsid w:val="00B0692C"/>
    <w:rsid w:val="00B07547"/>
    <w:rsid w:val="00B10B18"/>
    <w:rsid w:val="00B110DE"/>
    <w:rsid w:val="00B113B9"/>
    <w:rsid w:val="00B1259E"/>
    <w:rsid w:val="00B127EC"/>
    <w:rsid w:val="00B1315D"/>
    <w:rsid w:val="00B131CA"/>
    <w:rsid w:val="00B13EB1"/>
    <w:rsid w:val="00B13FAA"/>
    <w:rsid w:val="00B14811"/>
    <w:rsid w:val="00B15C69"/>
    <w:rsid w:val="00B163E2"/>
    <w:rsid w:val="00B1766F"/>
    <w:rsid w:val="00B17C3B"/>
    <w:rsid w:val="00B24C96"/>
    <w:rsid w:val="00B27755"/>
    <w:rsid w:val="00B301D8"/>
    <w:rsid w:val="00B31EE5"/>
    <w:rsid w:val="00B3269A"/>
    <w:rsid w:val="00B33ACC"/>
    <w:rsid w:val="00B33DEF"/>
    <w:rsid w:val="00B353C3"/>
    <w:rsid w:val="00B36745"/>
    <w:rsid w:val="00B369CC"/>
    <w:rsid w:val="00B36B5F"/>
    <w:rsid w:val="00B36F55"/>
    <w:rsid w:val="00B371F0"/>
    <w:rsid w:val="00B409AA"/>
    <w:rsid w:val="00B40C8B"/>
    <w:rsid w:val="00B42CB8"/>
    <w:rsid w:val="00B42D19"/>
    <w:rsid w:val="00B471B5"/>
    <w:rsid w:val="00B51A6D"/>
    <w:rsid w:val="00B51CD6"/>
    <w:rsid w:val="00B5246E"/>
    <w:rsid w:val="00B5258F"/>
    <w:rsid w:val="00B52746"/>
    <w:rsid w:val="00B52ADA"/>
    <w:rsid w:val="00B555C9"/>
    <w:rsid w:val="00B5644A"/>
    <w:rsid w:val="00B573E4"/>
    <w:rsid w:val="00B60140"/>
    <w:rsid w:val="00B60367"/>
    <w:rsid w:val="00B603B7"/>
    <w:rsid w:val="00B62030"/>
    <w:rsid w:val="00B62060"/>
    <w:rsid w:val="00B62BC6"/>
    <w:rsid w:val="00B631AB"/>
    <w:rsid w:val="00B641BD"/>
    <w:rsid w:val="00B65D6C"/>
    <w:rsid w:val="00B70DBB"/>
    <w:rsid w:val="00B727E1"/>
    <w:rsid w:val="00B74064"/>
    <w:rsid w:val="00B744E3"/>
    <w:rsid w:val="00B75C26"/>
    <w:rsid w:val="00B77022"/>
    <w:rsid w:val="00B81083"/>
    <w:rsid w:val="00B81DFA"/>
    <w:rsid w:val="00B81EC7"/>
    <w:rsid w:val="00B8294E"/>
    <w:rsid w:val="00B83B48"/>
    <w:rsid w:val="00B85D9F"/>
    <w:rsid w:val="00B862C9"/>
    <w:rsid w:val="00B86FD0"/>
    <w:rsid w:val="00B87240"/>
    <w:rsid w:val="00B873C2"/>
    <w:rsid w:val="00B8795F"/>
    <w:rsid w:val="00B901B5"/>
    <w:rsid w:val="00B91047"/>
    <w:rsid w:val="00B9250F"/>
    <w:rsid w:val="00B94BC1"/>
    <w:rsid w:val="00B9532F"/>
    <w:rsid w:val="00B969ED"/>
    <w:rsid w:val="00B97746"/>
    <w:rsid w:val="00BA0454"/>
    <w:rsid w:val="00BA0A87"/>
    <w:rsid w:val="00BA1FBE"/>
    <w:rsid w:val="00BA251D"/>
    <w:rsid w:val="00BA2F55"/>
    <w:rsid w:val="00BA3B3B"/>
    <w:rsid w:val="00BA3FB7"/>
    <w:rsid w:val="00BA4212"/>
    <w:rsid w:val="00BA4813"/>
    <w:rsid w:val="00BA526D"/>
    <w:rsid w:val="00BA5A3B"/>
    <w:rsid w:val="00BA6833"/>
    <w:rsid w:val="00BA75BD"/>
    <w:rsid w:val="00BA7C9D"/>
    <w:rsid w:val="00BB17DC"/>
    <w:rsid w:val="00BB2657"/>
    <w:rsid w:val="00BB36F1"/>
    <w:rsid w:val="00BB4265"/>
    <w:rsid w:val="00BB596A"/>
    <w:rsid w:val="00BB5D0D"/>
    <w:rsid w:val="00BB5F6E"/>
    <w:rsid w:val="00BB69B5"/>
    <w:rsid w:val="00BB7ABE"/>
    <w:rsid w:val="00BB7DDF"/>
    <w:rsid w:val="00BC3906"/>
    <w:rsid w:val="00BC6A0B"/>
    <w:rsid w:val="00BD0269"/>
    <w:rsid w:val="00BD0E65"/>
    <w:rsid w:val="00BD25D5"/>
    <w:rsid w:val="00BD2BC7"/>
    <w:rsid w:val="00BD4327"/>
    <w:rsid w:val="00BD61BB"/>
    <w:rsid w:val="00BE05BF"/>
    <w:rsid w:val="00BE14D3"/>
    <w:rsid w:val="00BE19A6"/>
    <w:rsid w:val="00BE40C0"/>
    <w:rsid w:val="00BE4B14"/>
    <w:rsid w:val="00BE4B41"/>
    <w:rsid w:val="00BE57A3"/>
    <w:rsid w:val="00BE5F33"/>
    <w:rsid w:val="00BE6AE6"/>
    <w:rsid w:val="00BE6C28"/>
    <w:rsid w:val="00BE6CD8"/>
    <w:rsid w:val="00BE7772"/>
    <w:rsid w:val="00BF16F7"/>
    <w:rsid w:val="00BF26E8"/>
    <w:rsid w:val="00BF41ED"/>
    <w:rsid w:val="00BF7584"/>
    <w:rsid w:val="00BF792A"/>
    <w:rsid w:val="00C00575"/>
    <w:rsid w:val="00C007A8"/>
    <w:rsid w:val="00C00F4F"/>
    <w:rsid w:val="00C00F9C"/>
    <w:rsid w:val="00C019E6"/>
    <w:rsid w:val="00C03455"/>
    <w:rsid w:val="00C04622"/>
    <w:rsid w:val="00C05638"/>
    <w:rsid w:val="00C06388"/>
    <w:rsid w:val="00C10354"/>
    <w:rsid w:val="00C10995"/>
    <w:rsid w:val="00C1145E"/>
    <w:rsid w:val="00C11A23"/>
    <w:rsid w:val="00C12316"/>
    <w:rsid w:val="00C12880"/>
    <w:rsid w:val="00C12D2F"/>
    <w:rsid w:val="00C12E21"/>
    <w:rsid w:val="00C13F20"/>
    <w:rsid w:val="00C15247"/>
    <w:rsid w:val="00C172D0"/>
    <w:rsid w:val="00C17EFB"/>
    <w:rsid w:val="00C2062A"/>
    <w:rsid w:val="00C21954"/>
    <w:rsid w:val="00C22876"/>
    <w:rsid w:val="00C233E6"/>
    <w:rsid w:val="00C2342A"/>
    <w:rsid w:val="00C23859"/>
    <w:rsid w:val="00C23A0B"/>
    <w:rsid w:val="00C23B16"/>
    <w:rsid w:val="00C24EF2"/>
    <w:rsid w:val="00C25085"/>
    <w:rsid w:val="00C25625"/>
    <w:rsid w:val="00C258F8"/>
    <w:rsid w:val="00C26149"/>
    <w:rsid w:val="00C264D9"/>
    <w:rsid w:val="00C2777C"/>
    <w:rsid w:val="00C34BD4"/>
    <w:rsid w:val="00C35216"/>
    <w:rsid w:val="00C35D8E"/>
    <w:rsid w:val="00C37CF8"/>
    <w:rsid w:val="00C40A5D"/>
    <w:rsid w:val="00C40D69"/>
    <w:rsid w:val="00C420D6"/>
    <w:rsid w:val="00C42410"/>
    <w:rsid w:val="00C42BB6"/>
    <w:rsid w:val="00C430F1"/>
    <w:rsid w:val="00C43FE6"/>
    <w:rsid w:val="00C443BB"/>
    <w:rsid w:val="00C4474D"/>
    <w:rsid w:val="00C45B0D"/>
    <w:rsid w:val="00C45FBA"/>
    <w:rsid w:val="00C46096"/>
    <w:rsid w:val="00C47076"/>
    <w:rsid w:val="00C47661"/>
    <w:rsid w:val="00C47F83"/>
    <w:rsid w:val="00C51390"/>
    <w:rsid w:val="00C5277C"/>
    <w:rsid w:val="00C52AA4"/>
    <w:rsid w:val="00C53C78"/>
    <w:rsid w:val="00C54107"/>
    <w:rsid w:val="00C5503F"/>
    <w:rsid w:val="00C56BCC"/>
    <w:rsid w:val="00C576C8"/>
    <w:rsid w:val="00C57DE4"/>
    <w:rsid w:val="00C60891"/>
    <w:rsid w:val="00C61350"/>
    <w:rsid w:val="00C61C56"/>
    <w:rsid w:val="00C632E0"/>
    <w:rsid w:val="00C64146"/>
    <w:rsid w:val="00C6512B"/>
    <w:rsid w:val="00C652F5"/>
    <w:rsid w:val="00C65E84"/>
    <w:rsid w:val="00C6621E"/>
    <w:rsid w:val="00C66784"/>
    <w:rsid w:val="00C6733D"/>
    <w:rsid w:val="00C67667"/>
    <w:rsid w:val="00C679D1"/>
    <w:rsid w:val="00C71498"/>
    <w:rsid w:val="00C71B1A"/>
    <w:rsid w:val="00C71EC8"/>
    <w:rsid w:val="00C748E9"/>
    <w:rsid w:val="00C75118"/>
    <w:rsid w:val="00C7556D"/>
    <w:rsid w:val="00C76895"/>
    <w:rsid w:val="00C77481"/>
    <w:rsid w:val="00C77772"/>
    <w:rsid w:val="00C80A00"/>
    <w:rsid w:val="00C80A80"/>
    <w:rsid w:val="00C80E3B"/>
    <w:rsid w:val="00C8189C"/>
    <w:rsid w:val="00C81E68"/>
    <w:rsid w:val="00C83587"/>
    <w:rsid w:val="00C84813"/>
    <w:rsid w:val="00C84B71"/>
    <w:rsid w:val="00C84E2C"/>
    <w:rsid w:val="00C857D8"/>
    <w:rsid w:val="00C85FA0"/>
    <w:rsid w:val="00C85FC0"/>
    <w:rsid w:val="00C860D9"/>
    <w:rsid w:val="00C86427"/>
    <w:rsid w:val="00C869B2"/>
    <w:rsid w:val="00C86B7A"/>
    <w:rsid w:val="00C90F60"/>
    <w:rsid w:val="00C91175"/>
    <w:rsid w:val="00C92C58"/>
    <w:rsid w:val="00C93EB5"/>
    <w:rsid w:val="00C94AD5"/>
    <w:rsid w:val="00C94E9C"/>
    <w:rsid w:val="00C96DF7"/>
    <w:rsid w:val="00CA1AF0"/>
    <w:rsid w:val="00CA1B94"/>
    <w:rsid w:val="00CA256D"/>
    <w:rsid w:val="00CA2782"/>
    <w:rsid w:val="00CA2A3B"/>
    <w:rsid w:val="00CA3180"/>
    <w:rsid w:val="00CA3A12"/>
    <w:rsid w:val="00CA3B37"/>
    <w:rsid w:val="00CA52D4"/>
    <w:rsid w:val="00CA5A66"/>
    <w:rsid w:val="00CA6200"/>
    <w:rsid w:val="00CA6C6C"/>
    <w:rsid w:val="00CA6EF9"/>
    <w:rsid w:val="00CA703A"/>
    <w:rsid w:val="00CB12F5"/>
    <w:rsid w:val="00CB1558"/>
    <w:rsid w:val="00CB1A37"/>
    <w:rsid w:val="00CB214D"/>
    <w:rsid w:val="00CB2EA6"/>
    <w:rsid w:val="00CB381A"/>
    <w:rsid w:val="00CB3DCA"/>
    <w:rsid w:val="00CB47FD"/>
    <w:rsid w:val="00CB4E6C"/>
    <w:rsid w:val="00CB7FFD"/>
    <w:rsid w:val="00CC1EB7"/>
    <w:rsid w:val="00CC24E9"/>
    <w:rsid w:val="00CC4A3F"/>
    <w:rsid w:val="00CC5252"/>
    <w:rsid w:val="00CC69A2"/>
    <w:rsid w:val="00CC6B86"/>
    <w:rsid w:val="00CC7AEE"/>
    <w:rsid w:val="00CD0274"/>
    <w:rsid w:val="00CD037D"/>
    <w:rsid w:val="00CD07AD"/>
    <w:rsid w:val="00CD0F0E"/>
    <w:rsid w:val="00CD10F1"/>
    <w:rsid w:val="00CD20AC"/>
    <w:rsid w:val="00CD2203"/>
    <w:rsid w:val="00CD44F5"/>
    <w:rsid w:val="00CD4F15"/>
    <w:rsid w:val="00CD5552"/>
    <w:rsid w:val="00CD598B"/>
    <w:rsid w:val="00CD6506"/>
    <w:rsid w:val="00CD7AC7"/>
    <w:rsid w:val="00CE056B"/>
    <w:rsid w:val="00CE0C57"/>
    <w:rsid w:val="00CE1B34"/>
    <w:rsid w:val="00CE249D"/>
    <w:rsid w:val="00CE483F"/>
    <w:rsid w:val="00CE60CD"/>
    <w:rsid w:val="00CE66A2"/>
    <w:rsid w:val="00CE7484"/>
    <w:rsid w:val="00CF021A"/>
    <w:rsid w:val="00CF1C41"/>
    <w:rsid w:val="00CF2B45"/>
    <w:rsid w:val="00CF2D4E"/>
    <w:rsid w:val="00CF37A8"/>
    <w:rsid w:val="00CF37B6"/>
    <w:rsid w:val="00CF4E24"/>
    <w:rsid w:val="00D001D4"/>
    <w:rsid w:val="00D00B98"/>
    <w:rsid w:val="00D0119C"/>
    <w:rsid w:val="00D018CA"/>
    <w:rsid w:val="00D01F35"/>
    <w:rsid w:val="00D02224"/>
    <w:rsid w:val="00D0258C"/>
    <w:rsid w:val="00D02671"/>
    <w:rsid w:val="00D0473E"/>
    <w:rsid w:val="00D04F65"/>
    <w:rsid w:val="00D10EEC"/>
    <w:rsid w:val="00D13320"/>
    <w:rsid w:val="00D13ED3"/>
    <w:rsid w:val="00D14384"/>
    <w:rsid w:val="00D16109"/>
    <w:rsid w:val="00D165F8"/>
    <w:rsid w:val="00D16EEF"/>
    <w:rsid w:val="00D17C7D"/>
    <w:rsid w:val="00D202CE"/>
    <w:rsid w:val="00D2101B"/>
    <w:rsid w:val="00D24A42"/>
    <w:rsid w:val="00D26118"/>
    <w:rsid w:val="00D26AC6"/>
    <w:rsid w:val="00D27115"/>
    <w:rsid w:val="00D271FE"/>
    <w:rsid w:val="00D31AE2"/>
    <w:rsid w:val="00D31BA2"/>
    <w:rsid w:val="00D32637"/>
    <w:rsid w:val="00D33C22"/>
    <w:rsid w:val="00D34E0D"/>
    <w:rsid w:val="00D34E34"/>
    <w:rsid w:val="00D368CC"/>
    <w:rsid w:val="00D40A43"/>
    <w:rsid w:val="00D41E3B"/>
    <w:rsid w:val="00D42257"/>
    <w:rsid w:val="00D42A9B"/>
    <w:rsid w:val="00D43DDA"/>
    <w:rsid w:val="00D44EDB"/>
    <w:rsid w:val="00D452B2"/>
    <w:rsid w:val="00D45474"/>
    <w:rsid w:val="00D46358"/>
    <w:rsid w:val="00D46A0A"/>
    <w:rsid w:val="00D525DC"/>
    <w:rsid w:val="00D52698"/>
    <w:rsid w:val="00D529B4"/>
    <w:rsid w:val="00D52B90"/>
    <w:rsid w:val="00D53353"/>
    <w:rsid w:val="00D5361C"/>
    <w:rsid w:val="00D55271"/>
    <w:rsid w:val="00D55402"/>
    <w:rsid w:val="00D56075"/>
    <w:rsid w:val="00D561AD"/>
    <w:rsid w:val="00D5708C"/>
    <w:rsid w:val="00D57964"/>
    <w:rsid w:val="00D60029"/>
    <w:rsid w:val="00D60240"/>
    <w:rsid w:val="00D60C93"/>
    <w:rsid w:val="00D622FA"/>
    <w:rsid w:val="00D631F0"/>
    <w:rsid w:val="00D63227"/>
    <w:rsid w:val="00D63991"/>
    <w:rsid w:val="00D63AA4"/>
    <w:rsid w:val="00D63D6A"/>
    <w:rsid w:val="00D65069"/>
    <w:rsid w:val="00D659D3"/>
    <w:rsid w:val="00D65E3F"/>
    <w:rsid w:val="00D66955"/>
    <w:rsid w:val="00D7172E"/>
    <w:rsid w:val="00D72BF4"/>
    <w:rsid w:val="00D73146"/>
    <w:rsid w:val="00D74C05"/>
    <w:rsid w:val="00D75563"/>
    <w:rsid w:val="00D75784"/>
    <w:rsid w:val="00D758C6"/>
    <w:rsid w:val="00D75DA0"/>
    <w:rsid w:val="00D75EFC"/>
    <w:rsid w:val="00D76379"/>
    <w:rsid w:val="00D764BE"/>
    <w:rsid w:val="00D80CB5"/>
    <w:rsid w:val="00D80D35"/>
    <w:rsid w:val="00D8149F"/>
    <w:rsid w:val="00D81E03"/>
    <w:rsid w:val="00D83117"/>
    <w:rsid w:val="00D83618"/>
    <w:rsid w:val="00D8371F"/>
    <w:rsid w:val="00D855E1"/>
    <w:rsid w:val="00D87EDA"/>
    <w:rsid w:val="00D901D5"/>
    <w:rsid w:val="00D91788"/>
    <w:rsid w:val="00D91FE5"/>
    <w:rsid w:val="00D92B1F"/>
    <w:rsid w:val="00D92BFA"/>
    <w:rsid w:val="00D936ED"/>
    <w:rsid w:val="00D9389A"/>
    <w:rsid w:val="00D94299"/>
    <w:rsid w:val="00D9673F"/>
    <w:rsid w:val="00D96C92"/>
    <w:rsid w:val="00D97936"/>
    <w:rsid w:val="00DA0573"/>
    <w:rsid w:val="00DA08C3"/>
    <w:rsid w:val="00DA16CC"/>
    <w:rsid w:val="00DA1CF5"/>
    <w:rsid w:val="00DA279D"/>
    <w:rsid w:val="00DA34DB"/>
    <w:rsid w:val="00DA384B"/>
    <w:rsid w:val="00DA4139"/>
    <w:rsid w:val="00DA4876"/>
    <w:rsid w:val="00DA5537"/>
    <w:rsid w:val="00DA64B1"/>
    <w:rsid w:val="00DB11E8"/>
    <w:rsid w:val="00DB1613"/>
    <w:rsid w:val="00DB1929"/>
    <w:rsid w:val="00DB1E38"/>
    <w:rsid w:val="00DB21B2"/>
    <w:rsid w:val="00DB2E44"/>
    <w:rsid w:val="00DB61BB"/>
    <w:rsid w:val="00DB741E"/>
    <w:rsid w:val="00DC0ED0"/>
    <w:rsid w:val="00DC1433"/>
    <w:rsid w:val="00DC1D78"/>
    <w:rsid w:val="00DC3583"/>
    <w:rsid w:val="00DC4DD1"/>
    <w:rsid w:val="00DC5777"/>
    <w:rsid w:val="00DC592A"/>
    <w:rsid w:val="00DC5E0D"/>
    <w:rsid w:val="00DC66FC"/>
    <w:rsid w:val="00DC7CDE"/>
    <w:rsid w:val="00DD0774"/>
    <w:rsid w:val="00DD0963"/>
    <w:rsid w:val="00DD3B4E"/>
    <w:rsid w:val="00DD5E8E"/>
    <w:rsid w:val="00DD65D4"/>
    <w:rsid w:val="00DD798F"/>
    <w:rsid w:val="00DE03C5"/>
    <w:rsid w:val="00DE2386"/>
    <w:rsid w:val="00DE2CBF"/>
    <w:rsid w:val="00DE3BDF"/>
    <w:rsid w:val="00DE3CEB"/>
    <w:rsid w:val="00DE3E96"/>
    <w:rsid w:val="00DF01CE"/>
    <w:rsid w:val="00DF0A78"/>
    <w:rsid w:val="00DF1068"/>
    <w:rsid w:val="00DF1593"/>
    <w:rsid w:val="00DF183A"/>
    <w:rsid w:val="00DF1F13"/>
    <w:rsid w:val="00DF2179"/>
    <w:rsid w:val="00DF22DC"/>
    <w:rsid w:val="00DF456D"/>
    <w:rsid w:val="00DF65ED"/>
    <w:rsid w:val="00DF6A4A"/>
    <w:rsid w:val="00DF6F51"/>
    <w:rsid w:val="00DF7425"/>
    <w:rsid w:val="00DF76BD"/>
    <w:rsid w:val="00E008F0"/>
    <w:rsid w:val="00E00F27"/>
    <w:rsid w:val="00E01B3B"/>
    <w:rsid w:val="00E03014"/>
    <w:rsid w:val="00E031DD"/>
    <w:rsid w:val="00E042C8"/>
    <w:rsid w:val="00E04314"/>
    <w:rsid w:val="00E04686"/>
    <w:rsid w:val="00E065E3"/>
    <w:rsid w:val="00E10EA2"/>
    <w:rsid w:val="00E12582"/>
    <w:rsid w:val="00E132D8"/>
    <w:rsid w:val="00E15D50"/>
    <w:rsid w:val="00E1635E"/>
    <w:rsid w:val="00E17872"/>
    <w:rsid w:val="00E17AB0"/>
    <w:rsid w:val="00E20B17"/>
    <w:rsid w:val="00E20BBF"/>
    <w:rsid w:val="00E228EE"/>
    <w:rsid w:val="00E2334D"/>
    <w:rsid w:val="00E23545"/>
    <w:rsid w:val="00E24B3F"/>
    <w:rsid w:val="00E3048C"/>
    <w:rsid w:val="00E32287"/>
    <w:rsid w:val="00E343E8"/>
    <w:rsid w:val="00E35348"/>
    <w:rsid w:val="00E357CC"/>
    <w:rsid w:val="00E35DAB"/>
    <w:rsid w:val="00E36125"/>
    <w:rsid w:val="00E36BF2"/>
    <w:rsid w:val="00E379D9"/>
    <w:rsid w:val="00E4064D"/>
    <w:rsid w:val="00E409E9"/>
    <w:rsid w:val="00E40B06"/>
    <w:rsid w:val="00E427BF"/>
    <w:rsid w:val="00E42A21"/>
    <w:rsid w:val="00E42EC3"/>
    <w:rsid w:val="00E43E59"/>
    <w:rsid w:val="00E44869"/>
    <w:rsid w:val="00E44BA5"/>
    <w:rsid w:val="00E45DC0"/>
    <w:rsid w:val="00E47A8D"/>
    <w:rsid w:val="00E500D9"/>
    <w:rsid w:val="00E5025A"/>
    <w:rsid w:val="00E52AFF"/>
    <w:rsid w:val="00E52D0C"/>
    <w:rsid w:val="00E5443E"/>
    <w:rsid w:val="00E54D4F"/>
    <w:rsid w:val="00E5570C"/>
    <w:rsid w:val="00E60790"/>
    <w:rsid w:val="00E6192B"/>
    <w:rsid w:val="00E62578"/>
    <w:rsid w:val="00E637BE"/>
    <w:rsid w:val="00E6441A"/>
    <w:rsid w:val="00E6488C"/>
    <w:rsid w:val="00E6536D"/>
    <w:rsid w:val="00E67261"/>
    <w:rsid w:val="00E67327"/>
    <w:rsid w:val="00E67D12"/>
    <w:rsid w:val="00E70D3E"/>
    <w:rsid w:val="00E70DA9"/>
    <w:rsid w:val="00E71273"/>
    <w:rsid w:val="00E724D7"/>
    <w:rsid w:val="00E73D8E"/>
    <w:rsid w:val="00E74CCD"/>
    <w:rsid w:val="00E7502B"/>
    <w:rsid w:val="00E803F7"/>
    <w:rsid w:val="00E810AA"/>
    <w:rsid w:val="00E815D5"/>
    <w:rsid w:val="00E82DD7"/>
    <w:rsid w:val="00E83AED"/>
    <w:rsid w:val="00E849D5"/>
    <w:rsid w:val="00E84A83"/>
    <w:rsid w:val="00E860F3"/>
    <w:rsid w:val="00E901B0"/>
    <w:rsid w:val="00E92A41"/>
    <w:rsid w:val="00E939AD"/>
    <w:rsid w:val="00E93A45"/>
    <w:rsid w:val="00E948D1"/>
    <w:rsid w:val="00E94B84"/>
    <w:rsid w:val="00E94C89"/>
    <w:rsid w:val="00E9508F"/>
    <w:rsid w:val="00E9554B"/>
    <w:rsid w:val="00E95F43"/>
    <w:rsid w:val="00E96793"/>
    <w:rsid w:val="00E97C18"/>
    <w:rsid w:val="00EA07B5"/>
    <w:rsid w:val="00EA10B3"/>
    <w:rsid w:val="00EA1427"/>
    <w:rsid w:val="00EA2964"/>
    <w:rsid w:val="00EA31FE"/>
    <w:rsid w:val="00EA3A0A"/>
    <w:rsid w:val="00EA4780"/>
    <w:rsid w:val="00EA4A49"/>
    <w:rsid w:val="00EA5C50"/>
    <w:rsid w:val="00EA6D8D"/>
    <w:rsid w:val="00EA72ED"/>
    <w:rsid w:val="00EB06F8"/>
    <w:rsid w:val="00EB0F1F"/>
    <w:rsid w:val="00EB16E2"/>
    <w:rsid w:val="00EB30E0"/>
    <w:rsid w:val="00EB37EC"/>
    <w:rsid w:val="00EB49D7"/>
    <w:rsid w:val="00EB5B76"/>
    <w:rsid w:val="00EB6D1F"/>
    <w:rsid w:val="00EB7A08"/>
    <w:rsid w:val="00EC03DF"/>
    <w:rsid w:val="00EC0D97"/>
    <w:rsid w:val="00EC2B5D"/>
    <w:rsid w:val="00EC4EB3"/>
    <w:rsid w:val="00EC7081"/>
    <w:rsid w:val="00ED085C"/>
    <w:rsid w:val="00ED0E1B"/>
    <w:rsid w:val="00ED129E"/>
    <w:rsid w:val="00ED333D"/>
    <w:rsid w:val="00ED39DB"/>
    <w:rsid w:val="00ED3B68"/>
    <w:rsid w:val="00ED4A14"/>
    <w:rsid w:val="00ED5284"/>
    <w:rsid w:val="00ED52F8"/>
    <w:rsid w:val="00ED53DA"/>
    <w:rsid w:val="00ED65F4"/>
    <w:rsid w:val="00EE06C4"/>
    <w:rsid w:val="00EE0A03"/>
    <w:rsid w:val="00EE1270"/>
    <w:rsid w:val="00EE2BAD"/>
    <w:rsid w:val="00EE35B4"/>
    <w:rsid w:val="00EE36B2"/>
    <w:rsid w:val="00EE3DFA"/>
    <w:rsid w:val="00EE4493"/>
    <w:rsid w:val="00EE44BF"/>
    <w:rsid w:val="00EE5E86"/>
    <w:rsid w:val="00EE66D1"/>
    <w:rsid w:val="00EE7686"/>
    <w:rsid w:val="00EF4073"/>
    <w:rsid w:val="00EF418F"/>
    <w:rsid w:val="00EF54CD"/>
    <w:rsid w:val="00EF630B"/>
    <w:rsid w:val="00EF64D1"/>
    <w:rsid w:val="00EF727E"/>
    <w:rsid w:val="00EF7B53"/>
    <w:rsid w:val="00EF7C51"/>
    <w:rsid w:val="00F003CE"/>
    <w:rsid w:val="00F0098C"/>
    <w:rsid w:val="00F00F2C"/>
    <w:rsid w:val="00F0193D"/>
    <w:rsid w:val="00F02709"/>
    <w:rsid w:val="00F03633"/>
    <w:rsid w:val="00F12B6F"/>
    <w:rsid w:val="00F12DE0"/>
    <w:rsid w:val="00F14CBD"/>
    <w:rsid w:val="00F14FD7"/>
    <w:rsid w:val="00F2054A"/>
    <w:rsid w:val="00F205B5"/>
    <w:rsid w:val="00F20B5D"/>
    <w:rsid w:val="00F21978"/>
    <w:rsid w:val="00F21DD6"/>
    <w:rsid w:val="00F21ECB"/>
    <w:rsid w:val="00F22404"/>
    <w:rsid w:val="00F23459"/>
    <w:rsid w:val="00F243CE"/>
    <w:rsid w:val="00F24450"/>
    <w:rsid w:val="00F24E82"/>
    <w:rsid w:val="00F25CEB"/>
    <w:rsid w:val="00F25EEC"/>
    <w:rsid w:val="00F262BA"/>
    <w:rsid w:val="00F26677"/>
    <w:rsid w:val="00F32B4F"/>
    <w:rsid w:val="00F32FB7"/>
    <w:rsid w:val="00F338A7"/>
    <w:rsid w:val="00F34155"/>
    <w:rsid w:val="00F345DF"/>
    <w:rsid w:val="00F34E8F"/>
    <w:rsid w:val="00F354B9"/>
    <w:rsid w:val="00F36AF9"/>
    <w:rsid w:val="00F37EFD"/>
    <w:rsid w:val="00F40C4F"/>
    <w:rsid w:val="00F4193C"/>
    <w:rsid w:val="00F420C0"/>
    <w:rsid w:val="00F42437"/>
    <w:rsid w:val="00F427E6"/>
    <w:rsid w:val="00F43E03"/>
    <w:rsid w:val="00F4561F"/>
    <w:rsid w:val="00F459CB"/>
    <w:rsid w:val="00F45E2B"/>
    <w:rsid w:val="00F45F9C"/>
    <w:rsid w:val="00F46043"/>
    <w:rsid w:val="00F478E1"/>
    <w:rsid w:val="00F518C3"/>
    <w:rsid w:val="00F521C5"/>
    <w:rsid w:val="00F52D28"/>
    <w:rsid w:val="00F52ED8"/>
    <w:rsid w:val="00F53243"/>
    <w:rsid w:val="00F54450"/>
    <w:rsid w:val="00F55434"/>
    <w:rsid w:val="00F55754"/>
    <w:rsid w:val="00F56735"/>
    <w:rsid w:val="00F56CB5"/>
    <w:rsid w:val="00F56FE7"/>
    <w:rsid w:val="00F57A8A"/>
    <w:rsid w:val="00F60696"/>
    <w:rsid w:val="00F60C5A"/>
    <w:rsid w:val="00F6103E"/>
    <w:rsid w:val="00F6152F"/>
    <w:rsid w:val="00F62030"/>
    <w:rsid w:val="00F6451D"/>
    <w:rsid w:val="00F6508B"/>
    <w:rsid w:val="00F6589D"/>
    <w:rsid w:val="00F65C71"/>
    <w:rsid w:val="00F66B96"/>
    <w:rsid w:val="00F66D1E"/>
    <w:rsid w:val="00F71478"/>
    <w:rsid w:val="00F7170E"/>
    <w:rsid w:val="00F7298C"/>
    <w:rsid w:val="00F72F99"/>
    <w:rsid w:val="00F732AF"/>
    <w:rsid w:val="00F7400C"/>
    <w:rsid w:val="00F74720"/>
    <w:rsid w:val="00F763FA"/>
    <w:rsid w:val="00F766DE"/>
    <w:rsid w:val="00F76935"/>
    <w:rsid w:val="00F76A31"/>
    <w:rsid w:val="00F7749C"/>
    <w:rsid w:val="00F779D9"/>
    <w:rsid w:val="00F80C70"/>
    <w:rsid w:val="00F82A31"/>
    <w:rsid w:val="00F87EEA"/>
    <w:rsid w:val="00F92869"/>
    <w:rsid w:val="00F93098"/>
    <w:rsid w:val="00F94613"/>
    <w:rsid w:val="00F95213"/>
    <w:rsid w:val="00F95C66"/>
    <w:rsid w:val="00F95E0D"/>
    <w:rsid w:val="00F9701D"/>
    <w:rsid w:val="00FA141A"/>
    <w:rsid w:val="00FA1C18"/>
    <w:rsid w:val="00FA2B92"/>
    <w:rsid w:val="00FA2B9A"/>
    <w:rsid w:val="00FA5698"/>
    <w:rsid w:val="00FA5AD9"/>
    <w:rsid w:val="00FA632F"/>
    <w:rsid w:val="00FA64CE"/>
    <w:rsid w:val="00FB1D7B"/>
    <w:rsid w:val="00FC033F"/>
    <w:rsid w:val="00FC0A3F"/>
    <w:rsid w:val="00FC0F20"/>
    <w:rsid w:val="00FC1302"/>
    <w:rsid w:val="00FC28B8"/>
    <w:rsid w:val="00FC2936"/>
    <w:rsid w:val="00FC3491"/>
    <w:rsid w:val="00FC3D52"/>
    <w:rsid w:val="00FC60C3"/>
    <w:rsid w:val="00FD12AE"/>
    <w:rsid w:val="00FD175E"/>
    <w:rsid w:val="00FD29A0"/>
    <w:rsid w:val="00FD3545"/>
    <w:rsid w:val="00FD4697"/>
    <w:rsid w:val="00FD7525"/>
    <w:rsid w:val="00FE0574"/>
    <w:rsid w:val="00FE05FA"/>
    <w:rsid w:val="00FE201B"/>
    <w:rsid w:val="00FE27BA"/>
    <w:rsid w:val="00FE292E"/>
    <w:rsid w:val="00FE2EC2"/>
    <w:rsid w:val="00FE4E89"/>
    <w:rsid w:val="00FE5DE7"/>
    <w:rsid w:val="00FE73CC"/>
    <w:rsid w:val="00FE74BD"/>
    <w:rsid w:val="00FE7D03"/>
    <w:rsid w:val="00FF05A2"/>
    <w:rsid w:val="00FF1D43"/>
    <w:rsid w:val="00FF1EDC"/>
    <w:rsid w:val="00FF217F"/>
    <w:rsid w:val="00FF364B"/>
    <w:rsid w:val="00FF3F3F"/>
    <w:rsid w:val="00FF4E18"/>
    <w:rsid w:val="00FF6A43"/>
    <w:rsid w:val="00FF6CF3"/>
    <w:rsid w:val="00FF6EE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CE"/>
    <w:rPr>
      <w:rFonts w:ascii="Times New Roman" w:eastAsia="Times New Roman" w:hAnsi="Times New Roman"/>
      <w:sz w:val="28"/>
      <w:szCs w:val="28"/>
      <w:lang w:val="en-US" w:eastAsia="en-US"/>
    </w:rPr>
  </w:style>
  <w:style w:type="paragraph" w:styleId="Heading1">
    <w:name w:val="heading 1"/>
    <w:basedOn w:val="Normal"/>
    <w:next w:val="Normal"/>
    <w:link w:val="Heading1Char"/>
    <w:uiPriority w:val="99"/>
    <w:qFormat/>
    <w:rsid w:val="004121CE"/>
    <w:pPr>
      <w:keepNext/>
      <w:widowControl w:val="0"/>
      <w:jc w:val="center"/>
      <w:outlineLvl w:val="0"/>
    </w:pPr>
    <w:rPr>
      <w:rFonts w:ascii=".VnTime" w:eastAsia="Calibri" w:hAnsi=".VnTime"/>
      <w:b/>
      <w:bCs/>
      <w:sz w:val="20"/>
      <w:szCs w:val="20"/>
      <w:lang/>
    </w:rPr>
  </w:style>
  <w:style w:type="paragraph" w:styleId="Heading2">
    <w:name w:val="heading 2"/>
    <w:basedOn w:val="Normal"/>
    <w:next w:val="Normal"/>
    <w:link w:val="Heading2Char"/>
    <w:uiPriority w:val="99"/>
    <w:qFormat/>
    <w:rsid w:val="004121CE"/>
    <w:pPr>
      <w:keepNext/>
      <w:tabs>
        <w:tab w:val="num" w:pos="644"/>
      </w:tabs>
      <w:spacing w:before="120" w:after="120"/>
      <w:ind w:left="-207" w:firstLine="567"/>
      <w:jc w:val="center"/>
      <w:outlineLvl w:val="1"/>
    </w:pPr>
    <w:rPr>
      <w:rFonts w:ascii=".VnTime" w:eastAsia="Calibri" w:hAnsi=".VnTime"/>
      <w:i/>
      <w:iCs/>
      <w:sz w:val="20"/>
      <w:szCs w:val="20"/>
      <w:lang/>
    </w:rPr>
  </w:style>
  <w:style w:type="paragraph" w:styleId="Heading3">
    <w:name w:val="heading 3"/>
    <w:basedOn w:val="Normal"/>
    <w:next w:val="Normal"/>
    <w:link w:val="Heading3Char"/>
    <w:uiPriority w:val="99"/>
    <w:qFormat/>
    <w:rsid w:val="004121CE"/>
    <w:pPr>
      <w:keepNext/>
      <w:tabs>
        <w:tab w:val="num" w:pos="964"/>
      </w:tabs>
      <w:spacing w:before="240" w:after="60"/>
      <w:ind w:firstLine="567"/>
      <w:jc w:val="both"/>
      <w:outlineLvl w:val="2"/>
    </w:pPr>
    <w:rPr>
      <w:rFonts w:ascii="Arial" w:eastAsia="Calibri" w:hAnsi="Arial"/>
      <w:b/>
      <w:bCs/>
      <w:sz w:val="26"/>
      <w:szCs w:val="26"/>
      <w:lang/>
    </w:rPr>
  </w:style>
  <w:style w:type="paragraph" w:styleId="Heading4">
    <w:name w:val="heading 4"/>
    <w:basedOn w:val="Normal"/>
    <w:next w:val="Normal"/>
    <w:link w:val="Heading4Char"/>
    <w:uiPriority w:val="99"/>
    <w:qFormat/>
    <w:rsid w:val="004121CE"/>
    <w:pPr>
      <w:keepNext/>
      <w:tabs>
        <w:tab w:val="num" w:pos="964"/>
      </w:tabs>
      <w:spacing w:before="240" w:after="60"/>
      <w:ind w:firstLine="567"/>
      <w:jc w:val="both"/>
      <w:outlineLvl w:val="3"/>
    </w:pPr>
    <w:rPr>
      <w:rFonts w:eastAsia="Calibri"/>
      <w:b/>
      <w:bCs/>
      <w:lang/>
    </w:rPr>
  </w:style>
  <w:style w:type="paragraph" w:styleId="Heading5">
    <w:name w:val="heading 5"/>
    <w:basedOn w:val="Normal"/>
    <w:next w:val="Normal"/>
    <w:link w:val="Heading5Char"/>
    <w:uiPriority w:val="99"/>
    <w:qFormat/>
    <w:rsid w:val="004121CE"/>
    <w:pPr>
      <w:tabs>
        <w:tab w:val="num" w:pos="1008"/>
      </w:tabs>
      <w:spacing w:before="240" w:after="60"/>
      <w:ind w:firstLine="567"/>
      <w:jc w:val="both"/>
      <w:outlineLvl w:val="4"/>
    </w:pPr>
    <w:rPr>
      <w:rFonts w:ascii=".VnTime" w:eastAsia="Calibri" w:hAnsi=".VnTime"/>
      <w:b/>
      <w:bCs/>
      <w:i/>
      <w:iCs/>
      <w:sz w:val="26"/>
      <w:szCs w:val="26"/>
      <w:lang/>
    </w:rPr>
  </w:style>
  <w:style w:type="paragraph" w:styleId="Heading6">
    <w:name w:val="heading 6"/>
    <w:basedOn w:val="Normal"/>
    <w:next w:val="Normal"/>
    <w:link w:val="Heading6Char"/>
    <w:uiPriority w:val="99"/>
    <w:qFormat/>
    <w:rsid w:val="004121CE"/>
    <w:pPr>
      <w:tabs>
        <w:tab w:val="num" w:pos="1152"/>
      </w:tabs>
      <w:spacing w:before="240" w:after="60"/>
      <w:ind w:left="1152" w:hanging="1152"/>
      <w:jc w:val="both"/>
      <w:outlineLvl w:val="5"/>
    </w:pPr>
    <w:rPr>
      <w:rFonts w:eastAsia="Calibri"/>
      <w:b/>
      <w:bCs/>
      <w:sz w:val="20"/>
      <w:szCs w:val="20"/>
      <w:lang/>
    </w:rPr>
  </w:style>
  <w:style w:type="paragraph" w:styleId="Heading7">
    <w:name w:val="heading 7"/>
    <w:basedOn w:val="Normal"/>
    <w:next w:val="Normal"/>
    <w:link w:val="Heading7Char"/>
    <w:uiPriority w:val="99"/>
    <w:qFormat/>
    <w:rsid w:val="004121CE"/>
    <w:pPr>
      <w:tabs>
        <w:tab w:val="num" w:pos="1296"/>
      </w:tabs>
      <w:spacing w:before="240" w:after="60"/>
      <w:ind w:left="1296" w:hanging="1296"/>
      <w:jc w:val="both"/>
      <w:outlineLvl w:val="6"/>
    </w:pPr>
    <w:rPr>
      <w:rFonts w:eastAsia="Calibri"/>
      <w:sz w:val="24"/>
      <w:szCs w:val="24"/>
      <w:lang/>
    </w:rPr>
  </w:style>
  <w:style w:type="paragraph" w:styleId="Heading8">
    <w:name w:val="heading 8"/>
    <w:basedOn w:val="Normal"/>
    <w:next w:val="Normal"/>
    <w:link w:val="Heading8Char"/>
    <w:uiPriority w:val="99"/>
    <w:qFormat/>
    <w:rsid w:val="004121CE"/>
    <w:pPr>
      <w:tabs>
        <w:tab w:val="num" w:pos="1440"/>
      </w:tabs>
      <w:spacing w:before="240" w:after="60"/>
      <w:ind w:left="1440" w:hanging="1440"/>
      <w:jc w:val="both"/>
      <w:outlineLvl w:val="7"/>
    </w:pPr>
    <w:rPr>
      <w:rFonts w:eastAsia="Calibri"/>
      <w:i/>
      <w:iCs/>
      <w:sz w:val="24"/>
      <w:szCs w:val="24"/>
      <w:lang/>
    </w:rPr>
  </w:style>
  <w:style w:type="paragraph" w:styleId="Heading9">
    <w:name w:val="heading 9"/>
    <w:basedOn w:val="Normal"/>
    <w:next w:val="Normal"/>
    <w:link w:val="Heading9Char"/>
    <w:uiPriority w:val="99"/>
    <w:qFormat/>
    <w:rsid w:val="004121CE"/>
    <w:pPr>
      <w:tabs>
        <w:tab w:val="num" w:pos="1584"/>
      </w:tabs>
      <w:spacing w:before="240" w:after="60"/>
      <w:ind w:left="1584" w:hanging="1584"/>
      <w:jc w:val="both"/>
      <w:outlineLvl w:val="8"/>
    </w:pPr>
    <w:rPr>
      <w:rFonts w:ascii="Arial" w:eastAsia="Calibri" w:hAnsi="Arial"/>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1CE"/>
    <w:rPr>
      <w:rFonts w:ascii=".VnTime" w:hAnsi=".VnTime" w:cs=".VnTime"/>
      <w:b/>
      <w:bCs/>
      <w:sz w:val="20"/>
      <w:szCs w:val="20"/>
    </w:rPr>
  </w:style>
  <w:style w:type="character" w:customStyle="1" w:styleId="Heading2Char">
    <w:name w:val="Heading 2 Char"/>
    <w:link w:val="Heading2"/>
    <w:uiPriority w:val="99"/>
    <w:locked/>
    <w:rsid w:val="004121CE"/>
    <w:rPr>
      <w:rFonts w:ascii=".VnTime" w:hAnsi=".VnTime" w:cs=".VnTime"/>
      <w:i/>
      <w:iCs/>
      <w:sz w:val="20"/>
      <w:szCs w:val="20"/>
    </w:rPr>
  </w:style>
  <w:style w:type="character" w:customStyle="1" w:styleId="Heading3Char">
    <w:name w:val="Heading 3 Char"/>
    <w:link w:val="Heading3"/>
    <w:uiPriority w:val="99"/>
    <w:locked/>
    <w:rsid w:val="004121CE"/>
    <w:rPr>
      <w:rFonts w:ascii="Arial" w:hAnsi="Arial" w:cs="Arial"/>
      <w:b/>
      <w:bCs/>
      <w:sz w:val="26"/>
      <w:szCs w:val="26"/>
    </w:rPr>
  </w:style>
  <w:style w:type="character" w:customStyle="1" w:styleId="Heading4Char">
    <w:name w:val="Heading 4 Char"/>
    <w:link w:val="Heading4"/>
    <w:uiPriority w:val="99"/>
    <w:locked/>
    <w:rsid w:val="004121CE"/>
    <w:rPr>
      <w:rFonts w:ascii="Times New Roman" w:hAnsi="Times New Roman" w:cs="Times New Roman"/>
      <w:b/>
      <w:bCs/>
      <w:sz w:val="28"/>
      <w:szCs w:val="28"/>
    </w:rPr>
  </w:style>
  <w:style w:type="character" w:customStyle="1" w:styleId="Heading5Char">
    <w:name w:val="Heading 5 Char"/>
    <w:link w:val="Heading5"/>
    <w:uiPriority w:val="99"/>
    <w:locked/>
    <w:rsid w:val="004121CE"/>
    <w:rPr>
      <w:rFonts w:ascii=".VnTime" w:hAnsi=".VnTime" w:cs=".VnTime"/>
      <w:b/>
      <w:bCs/>
      <w:i/>
      <w:iCs/>
      <w:sz w:val="26"/>
      <w:szCs w:val="26"/>
    </w:rPr>
  </w:style>
  <w:style w:type="character" w:customStyle="1" w:styleId="Heading6Char">
    <w:name w:val="Heading 6 Char"/>
    <w:link w:val="Heading6"/>
    <w:uiPriority w:val="99"/>
    <w:locked/>
    <w:rsid w:val="004121CE"/>
    <w:rPr>
      <w:rFonts w:ascii="Times New Roman" w:hAnsi="Times New Roman" w:cs="Times New Roman"/>
      <w:b/>
      <w:bCs/>
    </w:rPr>
  </w:style>
  <w:style w:type="character" w:customStyle="1" w:styleId="Heading7Char">
    <w:name w:val="Heading 7 Char"/>
    <w:link w:val="Heading7"/>
    <w:uiPriority w:val="99"/>
    <w:locked/>
    <w:rsid w:val="004121CE"/>
    <w:rPr>
      <w:rFonts w:ascii="Times New Roman" w:hAnsi="Times New Roman" w:cs="Times New Roman"/>
      <w:sz w:val="24"/>
      <w:szCs w:val="24"/>
    </w:rPr>
  </w:style>
  <w:style w:type="character" w:customStyle="1" w:styleId="Heading8Char">
    <w:name w:val="Heading 8 Char"/>
    <w:link w:val="Heading8"/>
    <w:uiPriority w:val="99"/>
    <w:locked/>
    <w:rsid w:val="004121CE"/>
    <w:rPr>
      <w:rFonts w:ascii="Times New Roman" w:hAnsi="Times New Roman" w:cs="Times New Roman"/>
      <w:i/>
      <w:iCs/>
      <w:sz w:val="24"/>
      <w:szCs w:val="24"/>
    </w:rPr>
  </w:style>
  <w:style w:type="character" w:customStyle="1" w:styleId="Heading9Char">
    <w:name w:val="Heading 9 Char"/>
    <w:link w:val="Heading9"/>
    <w:uiPriority w:val="99"/>
    <w:locked/>
    <w:rsid w:val="004121CE"/>
    <w:rPr>
      <w:rFonts w:ascii="Arial" w:hAnsi="Arial" w:cs="Arial"/>
    </w:rPr>
  </w:style>
  <w:style w:type="paragraph" w:styleId="Footer">
    <w:name w:val="footer"/>
    <w:aliases w:val="Char"/>
    <w:basedOn w:val="Normal"/>
    <w:link w:val="FooterChar"/>
    <w:uiPriority w:val="99"/>
    <w:rsid w:val="004121CE"/>
    <w:pPr>
      <w:tabs>
        <w:tab w:val="center" w:pos="4320"/>
        <w:tab w:val="right" w:pos="8640"/>
      </w:tabs>
    </w:pPr>
    <w:rPr>
      <w:rFonts w:eastAsia="Calibri"/>
      <w:snapToGrid w:val="0"/>
      <w:lang/>
    </w:rPr>
  </w:style>
  <w:style w:type="character" w:customStyle="1" w:styleId="FooterChar">
    <w:name w:val="Footer Char"/>
    <w:aliases w:val="Char Char"/>
    <w:link w:val="Footer"/>
    <w:uiPriority w:val="99"/>
    <w:locked/>
    <w:rsid w:val="004121CE"/>
    <w:rPr>
      <w:rFonts w:ascii="Times New Roman" w:hAnsi="Times New Roman" w:cs="Times New Roman"/>
      <w:snapToGrid w:val="0"/>
      <w:sz w:val="28"/>
      <w:szCs w:val="28"/>
    </w:rPr>
  </w:style>
  <w:style w:type="character" w:styleId="PageNumber">
    <w:name w:val="page number"/>
    <w:basedOn w:val="DefaultParagraphFont"/>
    <w:uiPriority w:val="99"/>
    <w:rsid w:val="004121CE"/>
  </w:style>
  <w:style w:type="paragraph" w:styleId="BodyText">
    <w:name w:val="Body Text"/>
    <w:basedOn w:val="Normal"/>
    <w:link w:val="BodyTextChar"/>
    <w:uiPriority w:val="99"/>
    <w:rsid w:val="004121CE"/>
    <w:pPr>
      <w:spacing w:line="360" w:lineRule="auto"/>
      <w:jc w:val="both"/>
    </w:pPr>
    <w:rPr>
      <w:rFonts w:ascii=".VnTime" w:eastAsia="Calibri" w:hAnsi=".VnTime"/>
      <w:sz w:val="26"/>
      <w:szCs w:val="26"/>
      <w:lang/>
    </w:rPr>
  </w:style>
  <w:style w:type="character" w:customStyle="1" w:styleId="BodyTextChar">
    <w:name w:val="Body Text Char"/>
    <w:link w:val="BodyText"/>
    <w:uiPriority w:val="99"/>
    <w:locked/>
    <w:rsid w:val="004121CE"/>
    <w:rPr>
      <w:rFonts w:ascii=".VnTime" w:hAnsi=".VnTime" w:cs=".VnTime"/>
      <w:sz w:val="26"/>
      <w:szCs w:val="26"/>
    </w:rPr>
  </w:style>
  <w:style w:type="paragraph" w:styleId="BalloonText">
    <w:name w:val="Balloon Text"/>
    <w:basedOn w:val="Normal"/>
    <w:link w:val="BalloonTextChar"/>
    <w:uiPriority w:val="99"/>
    <w:semiHidden/>
    <w:rsid w:val="004121CE"/>
    <w:rPr>
      <w:rFonts w:ascii="Tahoma" w:eastAsia="Calibri" w:hAnsi="Tahoma"/>
      <w:sz w:val="16"/>
      <w:szCs w:val="16"/>
      <w:lang/>
    </w:rPr>
  </w:style>
  <w:style w:type="character" w:customStyle="1" w:styleId="BalloonTextChar">
    <w:name w:val="Balloon Text Char"/>
    <w:link w:val="BalloonText"/>
    <w:uiPriority w:val="99"/>
    <w:semiHidden/>
    <w:locked/>
    <w:rsid w:val="004121CE"/>
    <w:rPr>
      <w:rFonts w:ascii="Tahoma" w:hAnsi="Tahoma" w:cs="Tahoma"/>
      <w:sz w:val="16"/>
      <w:szCs w:val="16"/>
    </w:rPr>
  </w:style>
  <w:style w:type="paragraph" w:styleId="ListParagraph">
    <w:name w:val="List Paragraph"/>
    <w:basedOn w:val="Normal"/>
    <w:uiPriority w:val="34"/>
    <w:qFormat/>
    <w:rsid w:val="004121CE"/>
    <w:pPr>
      <w:spacing w:before="120" w:after="200" w:line="276" w:lineRule="auto"/>
      <w:ind w:left="720" w:firstLine="567"/>
      <w:jc w:val="both"/>
    </w:pPr>
    <w:rPr>
      <w:rFonts w:ascii="Calibri" w:eastAsia="Calibri" w:hAnsi="Calibri" w:cs="Calibri"/>
      <w:sz w:val="22"/>
      <w:szCs w:val="22"/>
    </w:rPr>
  </w:style>
  <w:style w:type="paragraph" w:styleId="TOC1">
    <w:name w:val="toc 1"/>
    <w:basedOn w:val="Normal"/>
    <w:next w:val="Normal"/>
    <w:autoRedefine/>
    <w:uiPriority w:val="99"/>
    <w:semiHidden/>
    <w:rsid w:val="004121CE"/>
    <w:pPr>
      <w:spacing w:before="60" w:after="60"/>
      <w:ind w:firstLine="720"/>
      <w:jc w:val="both"/>
    </w:pPr>
    <w:rPr>
      <w:b/>
      <w:bCs/>
      <w:sz w:val="24"/>
      <w:szCs w:val="24"/>
      <w:lang w:val="nl-NL"/>
    </w:rPr>
  </w:style>
  <w:style w:type="paragraph" w:styleId="TOC2">
    <w:name w:val="toc 2"/>
    <w:basedOn w:val="Normal"/>
    <w:next w:val="Normal"/>
    <w:autoRedefine/>
    <w:uiPriority w:val="99"/>
    <w:semiHidden/>
    <w:rsid w:val="004121CE"/>
    <w:pPr>
      <w:spacing w:before="60" w:after="60"/>
      <w:ind w:left="280" w:firstLine="720"/>
      <w:jc w:val="both"/>
    </w:pPr>
    <w:rPr>
      <w:b/>
      <w:bCs/>
      <w:sz w:val="24"/>
      <w:szCs w:val="24"/>
      <w:lang w:val="nl-NL"/>
    </w:rPr>
  </w:style>
  <w:style w:type="paragraph" w:styleId="TOC3">
    <w:name w:val="toc 3"/>
    <w:basedOn w:val="Normal"/>
    <w:next w:val="Normal"/>
    <w:autoRedefine/>
    <w:uiPriority w:val="99"/>
    <w:semiHidden/>
    <w:rsid w:val="004121CE"/>
    <w:pPr>
      <w:spacing w:before="60" w:after="60"/>
      <w:ind w:left="560" w:firstLine="720"/>
      <w:jc w:val="both"/>
    </w:pPr>
    <w:rPr>
      <w:b/>
      <w:bCs/>
      <w:sz w:val="24"/>
      <w:szCs w:val="24"/>
      <w:lang w:val="nl-NL"/>
    </w:rPr>
  </w:style>
  <w:style w:type="paragraph" w:styleId="TOC4">
    <w:name w:val="toc 4"/>
    <w:basedOn w:val="Normal"/>
    <w:next w:val="Normal"/>
    <w:autoRedefine/>
    <w:uiPriority w:val="99"/>
    <w:semiHidden/>
    <w:rsid w:val="004121CE"/>
    <w:pPr>
      <w:spacing w:before="60" w:after="60"/>
      <w:ind w:left="840" w:firstLine="720"/>
      <w:jc w:val="both"/>
    </w:pPr>
    <w:rPr>
      <w:sz w:val="24"/>
      <w:szCs w:val="24"/>
      <w:lang w:val="nl-NL"/>
    </w:rPr>
  </w:style>
  <w:style w:type="paragraph" w:styleId="TOC5">
    <w:name w:val="toc 5"/>
    <w:basedOn w:val="Normal"/>
    <w:next w:val="Normal"/>
    <w:autoRedefine/>
    <w:uiPriority w:val="99"/>
    <w:semiHidden/>
    <w:rsid w:val="004121CE"/>
    <w:pPr>
      <w:spacing w:before="60" w:after="60"/>
      <w:ind w:left="1120" w:firstLine="720"/>
      <w:jc w:val="both"/>
    </w:pPr>
    <w:rPr>
      <w:sz w:val="24"/>
      <w:szCs w:val="24"/>
      <w:lang w:val="nl-NL"/>
    </w:rPr>
  </w:style>
  <w:style w:type="paragraph" w:styleId="TOC6">
    <w:name w:val="toc 6"/>
    <w:basedOn w:val="Normal"/>
    <w:next w:val="Normal"/>
    <w:autoRedefine/>
    <w:uiPriority w:val="99"/>
    <w:semiHidden/>
    <w:rsid w:val="004121CE"/>
    <w:pPr>
      <w:spacing w:before="60" w:after="60"/>
      <w:ind w:left="1400" w:firstLine="720"/>
      <w:jc w:val="both"/>
    </w:pPr>
    <w:rPr>
      <w:sz w:val="24"/>
      <w:szCs w:val="24"/>
      <w:lang w:val="nl-NL"/>
    </w:rPr>
  </w:style>
  <w:style w:type="paragraph" w:styleId="Header">
    <w:name w:val="header"/>
    <w:basedOn w:val="Normal"/>
    <w:link w:val="HeaderChar"/>
    <w:uiPriority w:val="99"/>
    <w:rsid w:val="004121CE"/>
    <w:pPr>
      <w:tabs>
        <w:tab w:val="center" w:pos="4680"/>
        <w:tab w:val="right" w:pos="9360"/>
      </w:tabs>
      <w:spacing w:before="120" w:after="120"/>
      <w:ind w:firstLine="567"/>
      <w:jc w:val="both"/>
    </w:pPr>
    <w:rPr>
      <w:rFonts w:eastAsia="Calibri"/>
      <w:sz w:val="24"/>
      <w:szCs w:val="24"/>
      <w:lang/>
    </w:rPr>
  </w:style>
  <w:style w:type="character" w:customStyle="1" w:styleId="HeaderChar">
    <w:name w:val="Header Char"/>
    <w:link w:val="Header"/>
    <w:uiPriority w:val="99"/>
    <w:locked/>
    <w:rsid w:val="004121CE"/>
    <w:rPr>
      <w:rFonts w:ascii="Times New Roman" w:hAnsi="Times New Roman" w:cs="Times New Roman"/>
      <w:sz w:val="24"/>
      <w:szCs w:val="24"/>
    </w:rPr>
  </w:style>
  <w:style w:type="paragraph" w:styleId="NormalWeb">
    <w:name w:val="Normal (Web)"/>
    <w:basedOn w:val="Normal"/>
    <w:uiPriority w:val="99"/>
    <w:rsid w:val="004121CE"/>
    <w:pPr>
      <w:spacing w:before="96" w:after="120" w:line="360" w:lineRule="atLeast"/>
      <w:ind w:firstLine="567"/>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paragraph" w:customStyle="1" w:styleId="Zkladntext-prvnodsazen">
    <w:name w:val="Základní text - první odsazený"/>
    <w:basedOn w:val="Normal"/>
    <w:next w:val="Normal"/>
    <w:uiPriority w:val="99"/>
    <w:rsid w:val="004121CE"/>
    <w:pPr>
      <w:autoSpaceDE w:val="0"/>
      <w:autoSpaceDN w:val="0"/>
      <w:adjustRightInd w:val="0"/>
    </w:pPr>
    <w:rPr>
      <w:rFonts w:ascii="Arial" w:hAnsi="Arial" w:cs="Arial"/>
      <w:sz w:val="24"/>
      <w:szCs w:val="24"/>
      <w:lang w:val="fr-FR" w:eastAsia="fr-FR"/>
    </w:rPr>
  </w:style>
  <w:style w:type="paragraph" w:customStyle="1" w:styleId="b-dieu">
    <w:name w:val="b-dieu"/>
    <w:basedOn w:val="BodyText"/>
    <w:uiPriority w:val="99"/>
    <w:rsid w:val="004121CE"/>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rsid w:val="004121CE"/>
    <w:rPr>
      <w:sz w:val="16"/>
      <w:szCs w:val="16"/>
    </w:rPr>
  </w:style>
  <w:style w:type="paragraph" w:styleId="CommentText">
    <w:name w:val="annotation text"/>
    <w:basedOn w:val="Normal"/>
    <w:link w:val="CommentTextChar"/>
    <w:uiPriority w:val="99"/>
    <w:semiHidden/>
    <w:rsid w:val="004121CE"/>
    <w:rPr>
      <w:rFonts w:eastAsia="Calibri"/>
      <w:sz w:val="20"/>
      <w:szCs w:val="20"/>
      <w:lang/>
    </w:rPr>
  </w:style>
  <w:style w:type="character" w:customStyle="1" w:styleId="CommentTextChar">
    <w:name w:val="Comment Text Char"/>
    <w:link w:val="CommentText"/>
    <w:uiPriority w:val="99"/>
    <w:semiHidden/>
    <w:locked/>
    <w:rsid w:val="004121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121CE"/>
    <w:rPr>
      <w:b/>
      <w:bCs/>
    </w:rPr>
  </w:style>
  <w:style w:type="character" w:customStyle="1" w:styleId="CommentSubjectChar">
    <w:name w:val="Comment Subject Char"/>
    <w:link w:val="CommentSubject"/>
    <w:uiPriority w:val="99"/>
    <w:semiHidden/>
    <w:locked/>
    <w:rsid w:val="004121CE"/>
    <w:rPr>
      <w:rFonts w:ascii="Times New Roman" w:hAnsi="Times New Roman" w:cs="Times New Roman"/>
      <w:b/>
      <w:bCs/>
      <w:sz w:val="20"/>
      <w:szCs w:val="20"/>
    </w:rPr>
  </w:style>
  <w:style w:type="character" w:styleId="Hyperlink">
    <w:name w:val="Hyperlink"/>
    <w:uiPriority w:val="99"/>
    <w:semiHidden/>
    <w:rsid w:val="00AA20C3"/>
    <w:rPr>
      <w:color w:val="0000FF"/>
      <w:u w:val="single"/>
    </w:rPr>
  </w:style>
  <w:style w:type="character" w:customStyle="1" w:styleId="null">
    <w:name w:val="null"/>
    <w:basedOn w:val="DefaultParagraphFont"/>
    <w:rsid w:val="00672E7A"/>
  </w:style>
  <w:style w:type="paragraph" w:styleId="Revision">
    <w:name w:val="Revision"/>
    <w:hidden/>
    <w:uiPriority w:val="99"/>
    <w:semiHidden/>
    <w:rsid w:val="000B0DDA"/>
    <w:rPr>
      <w:rFonts w:ascii="Times New Roman" w:eastAsia="Times New Roman" w:hAnsi="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48E7-00DA-434D-AAF0-0F2A90AC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27267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Thuybt</dc:creator>
  <cp:lastModifiedBy>UBCK</cp:lastModifiedBy>
  <cp:revision>2</cp:revision>
  <cp:lastPrinted>2015-06-04T08:40:00Z</cp:lastPrinted>
  <dcterms:created xsi:type="dcterms:W3CDTF">2015-06-11T09:48:00Z</dcterms:created>
  <dcterms:modified xsi:type="dcterms:W3CDTF">2015-06-11T09:48:00Z</dcterms:modified>
</cp:coreProperties>
</file>